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40"/>
        <w:jc w:val="center"/>
        <w:rPr/>
      </w:pPr>
      <w:r>
        <w:rPr>
          <w:b/>
          <w:bCs/>
          <w:sz w:val="32"/>
          <w:szCs w:val="32"/>
        </w:rPr>
        <w:t>CHARTE DES BONNES PRATIQUES</w:t>
      </w:r>
    </w:p>
    <w:p>
      <w:pPr>
        <w:pStyle w:val="Normal"/>
        <w:spacing w:before="0" w:after="360"/>
        <w:jc w:val="center"/>
        <w:rPr/>
      </w:pPr>
      <w:r>
        <w:rPr>
          <w:sz w:val="22"/>
          <w:szCs w:val="22"/>
        </w:rPr>
        <w:t>Code de bonne conduite et charte du consentement</w:t>
      </w:r>
    </w:p>
    <w:p>
      <w:pPr>
        <w:pStyle w:val="Normal"/>
        <w:pBdr>
          <w:bottom w:val="single" w:sz="6" w:space="1" w:color="000000"/>
        </w:pBdr>
        <w:spacing w:before="60" w:after="200"/>
        <w:rPr/>
      </w:pPr>
      <w:r>
        <w:rPr/>
      </w:r>
    </w:p>
    <w:p>
      <w:pPr>
        <w:pStyle w:val="Normal"/>
        <w:keepNext w:val="true"/>
        <w:spacing w:before="360" w:after="160"/>
        <w:rPr/>
      </w:pPr>
      <w:r>
        <w:rPr>
          <w:b/>
          <w:bCs/>
          <w:sz w:val="26"/>
          <w:szCs w:val="26"/>
        </w:rPr>
        <w:t>Préambule</w:t>
      </w:r>
    </w:p>
    <w:p>
      <w:pPr>
        <w:pStyle w:val="Normal"/>
        <w:spacing w:before="0" w:after="120"/>
        <w:jc w:val="both"/>
        <w:rPr/>
      </w:pPr>
      <w:r>
        <w:rPr/>
        <w:t xml:space="preserve">La présente charte — code de bonne conduite et charte du consentement — est la </w:t>
      </w:r>
      <w:r>
        <w:rPr>
          <w:b/>
          <w:bCs/>
        </w:rPr>
        <w:t>norme suprême</w:t>
      </w:r>
      <w:r>
        <w:rPr/>
        <w:t xml:space="preserve"> de l’ensemble contractuel. </w:t>
      </w:r>
    </w:p>
    <w:p>
      <w:pPr>
        <w:pStyle w:val="Normal"/>
        <w:spacing w:before="0" w:after="120"/>
        <w:jc w:val="both"/>
        <w:rPr/>
      </w:pPr>
      <w:r>
        <w:rPr/>
        <w:t>Elle prévaut sur les conditions générales d’utilisation et sur les conditions générales de vente pour tout ce qui touche au consentement, à la sécurité des personnes et à la protection des mineurs.</w:t>
      </w:r>
    </w:p>
    <w:p>
      <w:pPr>
        <w:pStyle w:val="Normal"/>
        <w:spacing w:before="0" w:after="120"/>
        <w:jc w:val="both"/>
        <w:rPr/>
      </w:pPr>
      <w:r>
        <w:rPr/>
        <w:t xml:space="preserve">Elle repose sur trois principes indérogeables : </w:t>
      </w:r>
      <w:r>
        <w:rPr>
          <w:b/>
          <w:bCs/>
        </w:rPr>
        <w:t>la liberté de chacun de refuser à tout instant</w:t>
      </w:r>
      <w:r>
        <w:rPr/>
        <w:t xml:space="preserve">, </w:t>
      </w:r>
      <w:r>
        <w:rPr>
          <w:b/>
          <w:bCs/>
        </w:rPr>
        <w:t>l’égale dignité de tous les participants</w:t>
      </w:r>
      <w:r>
        <w:rPr/>
        <w:t xml:space="preserve"> et </w:t>
      </w:r>
      <w:r>
        <w:rPr>
          <w:b/>
          <w:bCs/>
        </w:rPr>
        <w:t>la gratuité absolue de toute interaction</w:t>
      </w:r>
      <w:r>
        <w:rPr/>
        <w:t xml:space="preserve">. </w:t>
      </w:r>
    </w:p>
    <w:p>
      <w:pPr>
        <w:pStyle w:val="Normal"/>
        <w:spacing w:before="0" w:after="120"/>
        <w:jc w:val="both"/>
        <w:rPr/>
      </w:pPr>
      <w:r>
        <w:rPr/>
        <w:t>Elle s’impose à l’Organisateur, au Référent consentement, au personnel d’encadrement et à chaque Participant, sans exception.</w:t>
      </w:r>
    </w:p>
    <w:p>
      <w:pPr>
        <w:pStyle w:val="Normal"/>
        <w:spacing w:before="0" w:after="120"/>
        <w:jc w:val="both"/>
        <w:rPr/>
      </w:pPr>
      <w:r>
        <w:rPr/>
        <w:t>Sa méconnaissance entraîne l’exclusion. Son acceptation est une condition d’accès.</w:t>
      </w:r>
    </w:p>
    <w:p>
      <w:pPr>
        <w:pStyle w:val="Normal"/>
        <w:keepNext w:val="true"/>
        <w:spacing w:before="360" w:after="160"/>
        <w:rPr/>
      </w:pPr>
      <w:r>
        <w:rPr>
          <w:b/>
          <w:bCs/>
          <w:sz w:val="26"/>
          <w:szCs w:val="26"/>
        </w:rPr>
        <w:t>Titre I — Le consentement</w:t>
      </w:r>
    </w:p>
    <w:p>
      <w:pPr>
        <w:pStyle w:val="Normal"/>
        <w:keepNext w:val="true"/>
        <w:spacing w:before="260" w:after="100"/>
        <w:rPr/>
      </w:pPr>
      <w:r>
        <w:rPr>
          <w:b/>
          <w:bCs/>
          <w:sz w:val="22"/>
          <w:szCs w:val="22"/>
        </w:rPr>
        <w:t>Article 1 — Définition</w:t>
      </w:r>
    </w:p>
    <w:p>
      <w:pPr>
        <w:pStyle w:val="Normal"/>
        <w:spacing w:before="0" w:after="120"/>
        <w:jc w:val="both"/>
        <w:rPr/>
      </w:pPr>
      <w:r>
        <w:rPr/>
        <w:t xml:space="preserve">Le consentement s’entend au sens de l’article 222-22 du code pénal, dans sa rédaction issue de la loi n° 2025-1057 du 6 novembre 2025 : il est </w:t>
      </w:r>
      <w:r>
        <w:rPr>
          <w:b/>
          <w:bCs/>
        </w:rPr>
        <w:t>libre, éclairé, spécifique, préalable et révocable</w:t>
      </w:r>
      <w:r>
        <w:rPr/>
        <w:t xml:space="preserve">. </w:t>
      </w:r>
    </w:p>
    <w:p>
      <w:pPr>
        <w:pStyle w:val="Normal"/>
        <w:spacing w:before="0" w:after="120"/>
        <w:jc w:val="both"/>
        <w:rPr/>
      </w:pPr>
      <w:r>
        <w:rPr/>
        <w:t xml:space="preserve">Il s’apprécie au regard des circonstances. </w:t>
      </w:r>
    </w:p>
    <w:p>
      <w:pPr>
        <w:pStyle w:val="Normal"/>
        <w:spacing w:before="0" w:after="120"/>
        <w:jc w:val="both"/>
        <w:rPr/>
      </w:pPr>
      <w:r>
        <w:rPr>
          <w:b/>
          <w:bCs/>
        </w:rPr>
        <w:t>Il ne peut être déduit du seul silence ou de la seule absence de réaction.</w:t>
      </w:r>
    </w:p>
    <w:p>
      <w:pPr>
        <w:pStyle w:val="Normal"/>
        <w:spacing w:before="0" w:after="120"/>
        <w:jc w:val="both"/>
        <w:rPr/>
      </w:pPr>
      <w:r>
        <w:rPr/>
        <w:t>Il n’y a pas de consentement lorsque l’acte est commis avec violence, contrainte, menace ou surprise, quelle qu’en soit la nature.</w:t>
      </w:r>
    </w:p>
    <w:p>
      <w:pPr>
        <w:pStyle w:val="Normal"/>
        <w:keepNext w:val="true"/>
        <w:spacing w:before="260" w:after="100"/>
        <w:rPr/>
      </w:pPr>
      <w:r>
        <w:rPr>
          <w:b/>
          <w:bCs/>
          <w:sz w:val="22"/>
          <w:szCs w:val="22"/>
        </w:rPr>
        <w:t>Article 2 — Consentement libre</w:t>
      </w:r>
    </w:p>
    <w:p>
      <w:pPr>
        <w:pStyle w:val="Normal"/>
        <w:spacing w:before="0" w:after="120"/>
        <w:jc w:val="both"/>
        <w:rPr/>
      </w:pPr>
      <w:r>
        <w:rPr/>
        <w:t xml:space="preserve">Nul ne subit de pression, d’insistance, de chantage affectif, de moquerie, de jeu, de défi, de mise en scène collective ni d’effet de groupe destiné à obtenir un accord. </w:t>
      </w:r>
    </w:p>
    <w:p>
      <w:pPr>
        <w:pStyle w:val="Normal"/>
        <w:spacing w:before="0" w:after="120"/>
        <w:jc w:val="both"/>
        <w:rPr/>
      </w:pPr>
      <w:r>
        <w:rPr/>
        <w:t>La réitération d’une demande après un refus constitue une pression.</w:t>
      </w:r>
    </w:p>
    <w:p>
      <w:pPr>
        <w:pStyle w:val="Normal"/>
        <w:spacing w:before="0" w:after="120"/>
        <w:jc w:val="both"/>
        <w:rPr/>
      </w:pPr>
      <w:r>
        <w:rPr/>
        <w:t xml:space="preserve">Le fait d’avoir acquitté une Contribution, d’avoir accepté un Événement, d’avoir consenti par le passé, d’être dévêtu, d’avoir engagé un acte ou d’avoir échangé des messages explicites en amont </w:t>
      </w:r>
      <w:r>
        <w:rPr>
          <w:b/>
          <w:bCs/>
        </w:rPr>
        <w:t>ne vaut jamais consentement</w:t>
      </w:r>
      <w:r>
        <w:rPr/>
        <w:t>.</w:t>
      </w:r>
    </w:p>
    <w:p>
      <w:pPr>
        <w:pStyle w:val="Normal"/>
        <w:keepNext w:val="true"/>
        <w:spacing w:before="260" w:after="100"/>
        <w:rPr/>
      </w:pPr>
      <w:r>
        <w:rPr>
          <w:b/>
          <w:bCs/>
          <w:sz w:val="22"/>
          <w:szCs w:val="22"/>
        </w:rPr>
        <w:t>Article 3 — Consentement éclairé</w:t>
      </w:r>
    </w:p>
    <w:p>
      <w:pPr>
        <w:pStyle w:val="Normal"/>
        <w:spacing w:before="0" w:after="120"/>
        <w:jc w:val="both"/>
        <w:rPr/>
      </w:pPr>
      <w:r>
        <w:rPr/>
        <w:t xml:space="preserve">Chacun doit savoir avec qui, à quoi et dans quelles conditions il consent. </w:t>
      </w:r>
    </w:p>
    <w:p>
      <w:pPr>
        <w:pStyle w:val="Normal"/>
        <w:spacing w:before="0" w:after="120"/>
        <w:jc w:val="both"/>
        <w:rPr/>
      </w:pPr>
      <w:r>
        <w:rPr/>
        <w:t xml:space="preserve">Sont communiqués avant tout acte : l’identité d’usage des personnes présentes, la nature des pratiques envisagées et l’usage des protections. </w:t>
      </w:r>
    </w:p>
    <w:p>
      <w:pPr>
        <w:pStyle w:val="Normal"/>
        <w:spacing w:before="0" w:after="120"/>
        <w:jc w:val="both"/>
        <w:rPr/>
      </w:pPr>
      <w:r>
        <w:rPr/>
        <w:t>Toute dissimulation, tout stratagème et toute substitution de personne vicient le consentement et sont susceptibles de caractériser la surprise au sens de l’article 222-22 du code pénal.</w:t>
      </w:r>
    </w:p>
    <w:p>
      <w:pPr>
        <w:pStyle w:val="Normal"/>
        <w:keepNext w:val="true"/>
        <w:spacing w:before="260" w:after="100"/>
        <w:rPr/>
      </w:pPr>
      <w:r>
        <w:rPr>
          <w:b/>
          <w:bCs/>
          <w:sz w:val="22"/>
          <w:szCs w:val="22"/>
        </w:rPr>
        <w:t>Article 4 — Consentement spécifique</w:t>
      </w:r>
    </w:p>
    <w:p>
      <w:pPr>
        <w:pStyle w:val="Normal"/>
        <w:spacing w:before="0" w:after="120"/>
        <w:jc w:val="both"/>
        <w:rPr/>
      </w:pPr>
      <w:r>
        <w:rPr/>
        <w:t xml:space="preserve">Le consentement porte sur </w:t>
      </w:r>
      <w:r>
        <w:rPr>
          <w:b/>
          <w:bCs/>
        </w:rPr>
        <w:t>un acte déterminé, avec une personne déterminée, à un moment déterminé</w:t>
      </w:r>
      <w:r>
        <w:rPr/>
        <w:t xml:space="preserve">. </w:t>
      </w:r>
    </w:p>
    <w:p>
      <w:pPr>
        <w:pStyle w:val="Normal"/>
        <w:spacing w:before="0" w:after="120"/>
        <w:jc w:val="both"/>
        <w:rPr/>
      </w:pPr>
      <w:r>
        <w:rPr/>
        <w:t>Il ne s’étend ni à une autre pratique, ni à une autre personne, ni à un autre moment.</w:t>
      </w:r>
    </w:p>
    <w:p>
      <w:pPr>
        <w:pStyle w:val="Normal"/>
        <w:spacing w:before="0" w:after="120"/>
        <w:jc w:val="both"/>
        <w:rPr/>
      </w:pPr>
      <w:r>
        <w:rPr/>
        <w:t xml:space="preserve">En configuration de groupe, ce principe impose que </w:t>
      </w:r>
      <w:r>
        <w:rPr>
          <w:b/>
          <w:bCs/>
        </w:rPr>
        <w:t>chaque nouveau participant à une interaction recueille son propre consentement</w:t>
      </w:r>
      <w:r>
        <w:rPr/>
        <w:t xml:space="preserve">, distinct de celui obtenu par les autres. </w:t>
      </w:r>
    </w:p>
    <w:p>
      <w:pPr>
        <w:pStyle w:val="Normal"/>
        <w:spacing w:before="0" w:after="120"/>
        <w:jc w:val="both"/>
        <w:rPr/>
      </w:pPr>
      <w:r>
        <w:rPr/>
        <w:t>Le consentement donné à l’un ne vaut jamais consentement donné à tous.</w:t>
      </w:r>
    </w:p>
    <w:p>
      <w:pPr>
        <w:pStyle w:val="Normal"/>
        <w:keepNext w:val="true"/>
        <w:spacing w:before="260" w:after="100"/>
        <w:rPr/>
      </w:pPr>
      <w:r>
        <w:rPr>
          <w:b/>
          <w:bCs/>
          <w:sz w:val="22"/>
          <w:szCs w:val="22"/>
        </w:rPr>
        <w:t>Article 5 — Consentement préalable</w:t>
      </w:r>
    </w:p>
    <w:p>
      <w:pPr>
        <w:pStyle w:val="Normal"/>
        <w:spacing w:before="0" w:after="120"/>
        <w:jc w:val="both"/>
        <w:rPr/>
      </w:pPr>
      <w:r>
        <w:rPr/>
        <w:t xml:space="preserve">Le consentement est recueilli </w:t>
      </w:r>
      <w:r>
        <w:rPr>
          <w:b/>
          <w:bCs/>
        </w:rPr>
        <w:t>avant</w:t>
      </w:r>
      <w:r>
        <w:rPr/>
        <w:t xml:space="preserve"> l’acte, explicitement, par des mots ou par un geste univoque. </w:t>
      </w:r>
    </w:p>
    <w:p>
      <w:pPr>
        <w:pStyle w:val="Normal"/>
        <w:spacing w:before="0" w:after="120"/>
        <w:jc w:val="both"/>
        <w:rPr/>
      </w:pPr>
      <w:r>
        <w:rPr/>
        <w:t xml:space="preserve">En cas de doute, l’acte ne commence pas. </w:t>
      </w:r>
    </w:p>
    <w:p>
      <w:pPr>
        <w:pStyle w:val="Normal"/>
        <w:spacing w:before="0" w:after="120"/>
        <w:jc w:val="both"/>
        <w:rPr/>
      </w:pPr>
      <w:r>
        <w:rPr/>
        <w:t>Le doute profite toujours au refus.</w:t>
      </w:r>
    </w:p>
    <w:p>
      <w:pPr>
        <w:pStyle w:val="Normal"/>
        <w:keepNext w:val="true"/>
        <w:spacing w:before="260" w:after="100"/>
        <w:rPr/>
      </w:pPr>
      <w:r>
        <w:rPr>
          <w:b/>
          <w:bCs/>
          <w:sz w:val="22"/>
          <w:szCs w:val="22"/>
        </w:rPr>
        <w:t>Article 6 — Consentement révocable et mot d’arrêt</w:t>
      </w:r>
    </w:p>
    <w:p>
      <w:pPr>
        <w:pStyle w:val="Normal"/>
        <w:spacing w:before="0" w:after="120"/>
        <w:jc w:val="both"/>
        <w:rPr/>
      </w:pPr>
      <w:r>
        <w:rPr/>
        <w:t xml:space="preserve">Le consentement peut être retiré </w:t>
      </w:r>
      <w:r>
        <w:rPr>
          <w:b/>
          <w:bCs/>
        </w:rPr>
        <w:t>à tout instant, sans motif, sans justification et sans conséquence</w:t>
      </w:r>
      <w:r>
        <w:rPr/>
        <w:t>, y compris après le début de l’acte, y compris à un stade avancé.</w:t>
      </w:r>
    </w:p>
    <w:p>
      <w:pPr>
        <w:pStyle w:val="Normal"/>
        <w:spacing w:before="0" w:after="120"/>
        <w:jc w:val="both"/>
        <w:rPr/>
      </w:pPr>
      <w:r>
        <w:rPr>
          <w:b/>
          <w:bCs/>
        </w:rPr>
        <w:t>Le mot d’arrêt de l’Événement est : « ROUGE ».</w:t>
      </w:r>
      <w:r>
        <w:rPr/>
        <w:t xml:space="preserve"> </w:t>
      </w:r>
    </w:p>
    <w:p>
      <w:pPr>
        <w:pStyle w:val="Normal"/>
        <w:spacing w:before="0" w:after="120"/>
        <w:jc w:val="both"/>
        <w:rPr/>
      </w:pPr>
      <w:r>
        <w:rPr/>
        <w:t xml:space="preserve">Il est prononcé par quiconque, à tout moment. </w:t>
      </w:r>
    </w:p>
    <w:p>
      <w:pPr>
        <w:pStyle w:val="Normal"/>
        <w:spacing w:before="0" w:after="120"/>
        <w:jc w:val="both"/>
        <w:rPr/>
      </w:pPr>
      <w:r>
        <w:rPr/>
        <w:t xml:space="preserve">Il commande l’arrêt immédiat, complet et sans discussion de toute activité en cours à proximité. </w:t>
      </w:r>
    </w:p>
    <w:p>
      <w:pPr>
        <w:pStyle w:val="Normal"/>
        <w:spacing w:before="0" w:after="120"/>
        <w:jc w:val="both"/>
        <w:rPr/>
      </w:pPr>
      <w:r>
        <w:rPr/>
        <w:t xml:space="preserve">Le mot « ORANGE » signifie : ralentir, changer de pratique, vérifier. </w:t>
      </w:r>
    </w:p>
    <w:p>
      <w:pPr>
        <w:pStyle w:val="Normal"/>
        <w:spacing w:before="0" w:after="120"/>
        <w:jc w:val="both"/>
        <w:rPr/>
      </w:pPr>
      <w:r>
        <w:rPr/>
        <w:t>Un geste convenu — frapper trois fois la main sur une surface — vaut mot d’arrêt lorsque la parole est empêchée.</w:t>
      </w:r>
    </w:p>
    <w:p>
      <w:pPr>
        <w:pStyle w:val="Normal"/>
        <w:spacing w:before="0" w:after="120"/>
        <w:jc w:val="both"/>
        <w:rPr/>
      </w:pPr>
      <w:r>
        <w:rPr/>
        <w:t xml:space="preserve">L’arrêt ne donne lieu à aucun commentaire, aucune demande d’explication, aucune manifestation de déception et aucun remboursement. </w:t>
      </w:r>
    </w:p>
    <w:p>
      <w:pPr>
        <w:pStyle w:val="Normal"/>
        <w:spacing w:before="0" w:after="120"/>
        <w:jc w:val="both"/>
        <w:rPr/>
      </w:pPr>
      <w:r>
        <w:rPr/>
        <w:t>La personne qui l’a demandé est accompagnée vers l’espace de retrait par le Référent consentement.</w:t>
      </w:r>
    </w:p>
    <w:p>
      <w:pPr>
        <w:pStyle w:val="Normal"/>
        <w:keepNext w:val="true"/>
        <w:spacing w:before="260" w:after="100"/>
        <w:rPr/>
      </w:pPr>
      <w:r>
        <w:rPr>
          <w:b/>
          <w:bCs/>
          <w:sz w:val="22"/>
          <w:szCs w:val="22"/>
        </w:rPr>
        <w:t>Article 7 — Vérification active</w:t>
      </w:r>
    </w:p>
    <w:p>
      <w:pPr>
        <w:pStyle w:val="Normal"/>
        <w:spacing w:before="0" w:after="120"/>
        <w:jc w:val="both"/>
        <w:rPr/>
      </w:pPr>
      <w:r>
        <w:rPr/>
        <w:t xml:space="preserve">Chaque Participant a l’obligation positive de s’assurer du consentement de son ou ses partenaires, avant l’acte puis de manière continue pendant celui-ci. </w:t>
      </w:r>
    </w:p>
    <w:p>
      <w:pPr>
        <w:pStyle w:val="Normal"/>
        <w:spacing w:before="0" w:after="120"/>
        <w:jc w:val="both"/>
        <w:rPr/>
      </w:pPr>
      <w:r>
        <w:rPr/>
        <w:t>Cette obligation pèse sur chacun individuellement et ne peut être déléguée à l’Organisateur.</w:t>
      </w:r>
    </w:p>
    <w:p>
      <w:pPr>
        <w:pStyle w:val="Normal"/>
        <w:spacing w:before="0" w:after="120"/>
        <w:jc w:val="both"/>
        <w:rPr/>
      </w:pPr>
      <w:r>
        <w:rPr/>
        <w:t xml:space="preserve">Constituent des signaux d’alerte imposant l’arrêt immédiat et la vérification : l’immobilité, le silence prolongé, le regard fuyant, la crispation, le retrait physique, les pleurs, la somnolence, l’incohérence des propos. </w:t>
      </w:r>
    </w:p>
    <w:p>
      <w:pPr>
        <w:pStyle w:val="Normal"/>
        <w:spacing w:before="0" w:after="120"/>
        <w:jc w:val="both"/>
        <w:rPr/>
      </w:pPr>
      <w:r>
        <w:rPr>
          <w:b/>
          <w:bCs/>
        </w:rPr>
        <w:t>L’inertie n’est pas un accord.</w:t>
      </w:r>
    </w:p>
    <w:p>
      <w:pPr>
        <w:pStyle w:val="Normal"/>
        <w:keepNext w:val="true"/>
        <w:spacing w:before="260" w:after="100"/>
        <w:rPr/>
      </w:pPr>
      <w:r>
        <w:rPr>
          <w:b/>
          <w:bCs/>
          <w:sz w:val="22"/>
          <w:szCs w:val="22"/>
        </w:rPr>
        <w:t>Article 8 — Discernement</w:t>
      </w:r>
    </w:p>
    <w:p>
      <w:pPr>
        <w:pStyle w:val="Normal"/>
        <w:spacing w:before="0" w:after="120"/>
        <w:jc w:val="both"/>
        <w:rPr/>
      </w:pPr>
      <w:r>
        <w:rPr/>
        <w:t xml:space="preserve">Aucun acte ne peut intervenir avec une personne dont le discernement est altéré, notamment par l’alcool, un produit stupéfiant, un médicament, la fatigue extrême ou toute autre cause. </w:t>
      </w:r>
    </w:p>
    <w:p>
      <w:pPr>
        <w:pStyle w:val="Normal"/>
        <w:spacing w:before="0" w:after="120"/>
        <w:jc w:val="both"/>
        <w:rPr/>
      </w:pPr>
      <w:r>
        <w:rPr/>
        <w:t>En présence du moindre doute sur le discernement, l’abstention est obligatoire.</w:t>
      </w:r>
    </w:p>
    <w:p>
      <w:pPr>
        <w:pStyle w:val="Normal"/>
        <w:spacing w:before="0" w:after="120"/>
        <w:jc w:val="both"/>
        <w:rPr/>
      </w:pPr>
      <w:r>
        <w:rPr/>
        <w:t xml:space="preserve">L’accès est refusé et le Participant est reconduit à toute personne présentant des signes d’ébriété ou d’imprégnation. </w:t>
      </w:r>
    </w:p>
    <w:p>
      <w:pPr>
        <w:pStyle w:val="Normal"/>
        <w:spacing w:before="0" w:after="120"/>
        <w:jc w:val="both"/>
        <w:rPr/>
      </w:pPr>
      <w:r>
        <w:rPr/>
        <w:t>Toute personne dont l’état se dégrade en cours d’Événement est immédiatement écartée de toute interaction et placée sous la surveillance du Référent consentement.</w:t>
      </w:r>
    </w:p>
    <w:p>
      <w:pPr>
        <w:pStyle w:val="Normal"/>
        <w:keepNext w:val="true"/>
        <w:spacing w:before="360" w:after="160"/>
        <w:rPr/>
      </w:pPr>
      <w:r>
        <w:rPr>
          <w:b/>
          <w:bCs/>
          <w:sz w:val="26"/>
          <w:szCs w:val="26"/>
        </w:rPr>
        <w:t>Titre II — Interdits absolus</w:t>
      </w:r>
    </w:p>
    <w:p>
      <w:pPr>
        <w:pStyle w:val="Normal"/>
        <w:spacing w:before="0" w:after="120"/>
        <w:jc w:val="both"/>
        <w:rPr/>
      </w:pPr>
      <w:r>
        <w:rPr/>
        <w:t xml:space="preserve">Les interdits suivants ne souffrent aucune exception, aucune dérogation, aucune tolérance et aucune négociation. </w:t>
      </w:r>
    </w:p>
    <w:p>
      <w:pPr>
        <w:pStyle w:val="Normal"/>
        <w:spacing w:before="0" w:after="120"/>
        <w:jc w:val="both"/>
        <w:rPr/>
      </w:pPr>
      <w:r>
        <w:rPr/>
        <w:t>Leur méconnaissance entraîne l’expulsion immédiate, la radiation définitive et, le cas échéant, le signalement aux autorités.</w:t>
      </w:r>
    </w:p>
    <w:p>
      <w:pPr>
        <w:pStyle w:val="Normal"/>
        <w:keepNext w:val="true"/>
        <w:spacing w:before="260" w:after="100"/>
        <w:rPr/>
      </w:pPr>
      <w:r>
        <w:rPr>
          <w:b/>
          <w:bCs/>
          <w:sz w:val="22"/>
          <w:szCs w:val="22"/>
        </w:rPr>
        <w:t>Article 9 — Mineurs</w:t>
      </w:r>
    </w:p>
    <w:p>
      <w:pPr>
        <w:pStyle w:val="Normal"/>
        <w:spacing w:before="0" w:after="120"/>
        <w:jc w:val="both"/>
        <w:rPr/>
      </w:pPr>
      <w:r>
        <w:rPr>
          <w:b/>
          <w:bCs/>
        </w:rPr>
        <w:t>Aucun mineur ne peut, à quelque titre que ce soit, être présent, être évoqué, être représenté ou être associé à un Événement.</w:t>
      </w:r>
      <w:r>
        <w:rPr/>
        <w:t xml:space="preserve"> </w:t>
      </w:r>
    </w:p>
    <w:p>
      <w:pPr>
        <w:pStyle w:val="Normal"/>
        <w:spacing w:before="0" w:after="120"/>
        <w:jc w:val="both"/>
        <w:rPr/>
      </w:pPr>
      <w:r>
        <w:rPr/>
        <w:t>L’identité et la majorité de chaque Participant sont vérifiées à l’entrée par contrôle visuel d’un document officiel.</w:t>
      </w:r>
    </w:p>
    <w:p>
      <w:pPr>
        <w:pStyle w:val="Normal"/>
        <w:spacing w:before="0" w:after="120"/>
        <w:jc w:val="both"/>
        <w:rPr/>
      </w:pPr>
      <w:r>
        <w:rPr/>
        <w:t xml:space="preserve">Toute personne ayant connaissance d’un fait laissant présumer la présence d’un mineur alerte immédiatement le Référent consentement, qui suspend l’Événement. </w:t>
      </w:r>
    </w:p>
    <w:p>
      <w:pPr>
        <w:pStyle w:val="Normal"/>
        <w:spacing w:before="0" w:after="120"/>
        <w:jc w:val="both"/>
        <w:rPr/>
      </w:pPr>
      <w:r>
        <w:rPr/>
        <w:t>Il est rappelé que l’article 434-3 du code pénal impose de porter à la connaissance des autorités les privations, mauvais traitements ou atteintes sexuelles infligés à un mineur.</w:t>
      </w:r>
    </w:p>
    <w:p>
      <w:pPr>
        <w:pStyle w:val="Normal"/>
        <w:spacing w:before="0" w:after="120"/>
        <w:jc w:val="both"/>
        <w:rPr/>
      </w:pPr>
      <w:r>
        <w:rPr/>
        <w:t>Tout scénario, jeu de rôle, propos, mise en scène, tenue, accessoire ou contenu évoquant la minorité est prohibé.</w:t>
      </w:r>
    </w:p>
    <w:p>
      <w:pPr>
        <w:pStyle w:val="Normal"/>
        <w:keepNext w:val="true"/>
        <w:spacing w:before="260" w:after="100"/>
        <w:rPr/>
      </w:pPr>
      <w:r>
        <w:rPr>
          <w:b/>
          <w:bCs/>
          <w:sz w:val="22"/>
          <w:szCs w:val="22"/>
        </w:rPr>
        <w:t>Article 10 — Violence et contrainte</w:t>
      </w:r>
    </w:p>
    <w:p>
      <w:pPr>
        <w:pStyle w:val="Normal"/>
        <w:spacing w:before="0" w:after="120"/>
        <w:jc w:val="both"/>
        <w:rPr/>
      </w:pPr>
      <w:r>
        <w:rPr/>
        <w:t>Sont interdits : tout acte de violence, toute contrainte physique ou morale, toute menace, toute humiliation non expressément et préalablement consentie dans un cadre précis, tout étranglement, toute entrave empêchant de se dégager ou de s’exprimer, toute pratique susceptible de mettre en danger la vie ou l’intégrité d’autrui.</w:t>
      </w:r>
    </w:p>
    <w:p>
      <w:pPr>
        <w:pStyle w:val="Normal"/>
        <w:spacing w:before="0" w:after="120"/>
        <w:jc w:val="both"/>
        <w:rPr/>
      </w:pPr>
      <w:r>
        <w:rPr/>
        <w:t>Aucun consentement ne peut valablement porter sur des actes de nature à causer une atteinte grave à l’intégrité corporelle.</w:t>
      </w:r>
    </w:p>
    <w:p>
      <w:pPr>
        <w:pStyle w:val="Normal"/>
        <w:keepNext w:val="true"/>
        <w:spacing w:before="260" w:after="100"/>
        <w:rPr/>
      </w:pPr>
      <w:r>
        <w:rPr>
          <w:b/>
          <w:bCs/>
          <w:sz w:val="22"/>
          <w:szCs w:val="22"/>
        </w:rPr>
        <w:t>Article 11 — Substances et protocole alcool</w:t>
      </w:r>
    </w:p>
    <w:p>
      <w:pPr>
        <w:pStyle w:val="Normal"/>
        <w:spacing w:before="0" w:after="120"/>
        <w:jc w:val="both"/>
        <w:rPr/>
      </w:pPr>
      <w:r>
        <w:rPr/>
        <w:t>L’introduction, la détention, la consommation et la cession de produits stupéfiants sont strictement interdites.</w:t>
      </w:r>
    </w:p>
    <w:p>
      <w:pPr>
        <w:pStyle w:val="Normal"/>
        <w:spacing w:before="0" w:after="120"/>
        <w:jc w:val="both"/>
        <w:rPr/>
      </w:pPr>
      <w:r>
        <w:rPr/>
        <w:t xml:space="preserve">Il est </w:t>
      </w:r>
      <w:r>
        <w:rPr>
          <w:b/>
          <w:bCs/>
        </w:rPr>
        <w:t>absolument interdit</w:t>
      </w:r>
      <w:r>
        <w:rPr/>
        <w:t xml:space="preserve"> d’ajouter, de faire ajouter ou de laisser ajouter quelque substance que ce soit dans le verre, la nourriture ou l’organisme d’autrui. </w:t>
      </w:r>
    </w:p>
    <w:p>
      <w:pPr>
        <w:pStyle w:val="Normal"/>
        <w:spacing w:before="0" w:after="120"/>
        <w:jc w:val="both"/>
        <w:rPr/>
      </w:pPr>
      <w:r>
        <w:rPr/>
        <w:t>Un tel fait constitue le délit prévu à l’article 222-30-1 du code pénal, puni de cinq ans d’emprisonnement et de 75 000 euros d’amende, et une circonstance aggravante des infractions sexuelles.</w:t>
      </w:r>
    </w:p>
    <w:p>
      <w:pPr>
        <w:pStyle w:val="Normal"/>
        <w:spacing w:before="0" w:after="120"/>
        <w:jc w:val="both"/>
        <w:rPr/>
      </w:pPr>
      <w:r>
        <w:rPr>
          <w:b/>
          <w:bCs/>
        </w:rPr>
        <w:t>Protocole de vigilance.</w:t>
      </w:r>
      <w:r>
        <w:rPr/>
        <w:t xml:space="preserve"> Les boissons sont servies en présence de leur destinataire ; un verre laissé sans surveillance est jeté ; le Référent consentement veille au respect de cette règle.</w:t>
      </w:r>
    </w:p>
    <w:p>
      <w:pPr>
        <w:pStyle w:val="Normal"/>
        <w:keepNext w:val="true"/>
        <w:spacing w:before="260" w:after="100"/>
        <w:rPr/>
      </w:pPr>
      <w:r>
        <w:rPr>
          <w:b/>
          <w:bCs/>
          <w:sz w:val="22"/>
          <w:szCs w:val="22"/>
        </w:rPr>
        <w:t>Article 12 — Captation et diffusion</w:t>
      </w:r>
    </w:p>
    <w:p>
      <w:pPr>
        <w:pStyle w:val="Normal"/>
        <w:spacing w:before="0" w:after="120"/>
        <w:jc w:val="both"/>
        <w:rPr/>
      </w:pPr>
      <w:r>
        <w:rPr>
          <w:b/>
          <w:bCs/>
        </w:rPr>
        <w:t>Aucune photographie, aucun enregistrement sonore, aucune vidéo, aucune captation d’écran, aucune diffusion en direct ne sont autorisés</w:t>
      </w:r>
      <w:r>
        <w:rPr/>
        <w:t>, sous quelque forme et par quelque moyen que ce soit.</w:t>
      </w:r>
    </w:p>
    <w:p>
      <w:pPr>
        <w:pStyle w:val="Normal"/>
        <w:spacing w:before="0" w:after="120"/>
        <w:jc w:val="both"/>
        <w:rPr/>
      </w:pPr>
      <w:r>
        <w:rPr/>
        <w:t xml:space="preserve">Les téléphones, montres connectées, caméras, lunettes connectées et tout autre appareil susceptible de capter sont </w:t>
      </w:r>
      <w:r>
        <w:rPr>
          <w:b/>
          <w:bCs/>
        </w:rPr>
        <w:t>obligatoirement déposés à la consigne</w:t>
      </w:r>
      <w:r>
        <w:rPr/>
        <w:t xml:space="preserve"> à l’entrée et restitués à la sortie. </w:t>
      </w:r>
    </w:p>
    <w:p>
      <w:pPr>
        <w:pStyle w:val="Normal"/>
        <w:spacing w:before="0" w:after="120"/>
        <w:jc w:val="both"/>
        <w:rPr/>
      </w:pPr>
      <w:r>
        <w:rPr/>
        <w:t>Un téléphone découvert en zone d’activité entraîne l’expulsion immédiate.</w:t>
      </w:r>
    </w:p>
    <w:p>
      <w:pPr>
        <w:pStyle w:val="Normal"/>
        <w:spacing w:before="0" w:after="120"/>
        <w:jc w:val="both"/>
        <w:rPr/>
      </w:pPr>
      <w:r>
        <w:rPr/>
        <w:t>Il est rappelé que la captation ou la diffusion, sans consentement, de paroles ou d’images à caractère sexuel est réprimée par les articles 226-1, 226-2 et 226-2-1 du code pénal, et peut donner lieu à réparation sur le fondement de l’article 9 du code civil.</w:t>
      </w:r>
    </w:p>
    <w:p>
      <w:pPr>
        <w:pStyle w:val="Normal"/>
        <w:keepNext w:val="true"/>
        <w:spacing w:before="260" w:after="100"/>
        <w:rPr/>
      </w:pPr>
      <w:r>
        <w:rPr>
          <w:b/>
          <w:bCs/>
          <w:sz w:val="22"/>
          <w:szCs w:val="22"/>
        </w:rPr>
        <w:t>Article 13 — Argent</w:t>
      </w:r>
    </w:p>
    <w:p>
      <w:pPr>
        <w:pStyle w:val="Normal"/>
        <w:spacing w:before="0" w:after="120"/>
        <w:jc w:val="both"/>
        <w:rPr/>
      </w:pPr>
      <w:r>
        <w:rPr>
          <w:b/>
          <w:bCs/>
        </w:rPr>
        <w:t>Aucune contrepartie, de quelque nature que ce soit, ne peut être offerte, promise, sollicitée, acceptée ou reçue entre Participants</w:t>
      </w:r>
      <w:r>
        <w:rPr/>
        <w:t>, ni avant, ni pendant, ni après l’Événement, ni sur place, ni à distance : argent, cadeau, défraiement, pourboire, bon, carte, actif numérique, cagnotte, service, hébergement, avantage professionnel ou autre.</w:t>
      </w:r>
    </w:p>
    <w:p>
      <w:pPr>
        <w:pStyle w:val="Normal"/>
        <w:spacing w:before="0" w:after="120"/>
        <w:jc w:val="both"/>
        <w:rPr/>
      </w:pPr>
      <w:r>
        <w:rPr/>
        <w:t xml:space="preserve">Aucune somme n’est manipulée sur le lieu de l’Événement. </w:t>
      </w:r>
    </w:p>
    <w:p>
      <w:pPr>
        <w:pStyle w:val="Normal"/>
        <w:spacing w:before="0" w:after="120"/>
        <w:jc w:val="both"/>
        <w:rPr/>
      </w:pPr>
      <w:r>
        <w:rPr/>
        <w:t xml:space="preserve">Aucun Participant n’entre gratuitement. </w:t>
      </w:r>
    </w:p>
    <w:p>
      <w:pPr>
        <w:pStyle w:val="Normal"/>
        <w:spacing w:before="0" w:after="120"/>
        <w:jc w:val="both"/>
        <w:rPr/>
      </w:pPr>
      <w:r>
        <w:rPr/>
        <w:t>Toute proposition contraire doit être immédiatement signalée au Référent consentement.</w:t>
      </w:r>
    </w:p>
    <w:p>
      <w:pPr>
        <w:pStyle w:val="Normal"/>
        <w:spacing w:before="0" w:after="120"/>
        <w:jc w:val="both"/>
        <w:rPr/>
      </w:pPr>
      <w:r>
        <w:rPr/>
        <w:t>Cette règle protège chacun : elle garantit que nul ne peut être qualifié de personne prostituée, ni l’Organisateur de proxénète au sens des articles 225-5 et suivants du code pénal.</w:t>
      </w:r>
    </w:p>
    <w:p>
      <w:pPr>
        <w:pStyle w:val="Normal"/>
        <w:keepNext w:val="true"/>
        <w:spacing w:before="260" w:after="100"/>
        <w:rPr/>
      </w:pPr>
      <w:r>
        <w:rPr>
          <w:b/>
          <w:bCs/>
          <w:sz w:val="22"/>
          <w:szCs w:val="22"/>
        </w:rPr>
        <w:t>Article 14 — Protection</w:t>
      </w:r>
    </w:p>
    <w:p>
      <w:pPr>
        <w:pStyle w:val="Normal"/>
        <w:spacing w:before="0" w:after="120"/>
        <w:jc w:val="both"/>
        <w:rPr/>
      </w:pPr>
      <w:r>
        <w:rPr/>
        <w:t xml:space="preserve">L’usage du préservatif est </w:t>
      </w:r>
      <w:r>
        <w:rPr>
          <w:b/>
          <w:bCs/>
        </w:rPr>
        <w:t>obligatoire</w:t>
      </w:r>
      <w:r>
        <w:rPr/>
        <w:t xml:space="preserve"> pour toute pénétration, vaginale, anale ou orale, ainsi qu’en cas d’usage partagé d’accessoires. </w:t>
      </w:r>
    </w:p>
    <w:p>
      <w:pPr>
        <w:pStyle w:val="Normal"/>
        <w:spacing w:before="0" w:after="120"/>
        <w:jc w:val="both"/>
        <w:rPr/>
      </w:pPr>
      <w:r>
        <w:rPr/>
        <w:t xml:space="preserve">Le préservatif est changé à chaque changement de partenaire et à chaque changement de pratique. </w:t>
      </w:r>
    </w:p>
    <w:p>
      <w:pPr>
        <w:pStyle w:val="Normal"/>
        <w:spacing w:before="0" w:after="120"/>
        <w:jc w:val="both"/>
        <w:rPr/>
      </w:pPr>
      <w:r>
        <w:rPr/>
        <w:t>Digues dentaires et gants sont mis à disposition et leur usage est recommandé.</w:t>
      </w:r>
    </w:p>
    <w:p>
      <w:pPr>
        <w:pStyle w:val="Normal"/>
        <w:spacing w:before="0" w:after="120"/>
        <w:jc w:val="both"/>
        <w:rPr/>
      </w:pPr>
      <w:r>
        <w:rPr/>
        <w:t xml:space="preserve">Le refus d’une protection est un motif d’exclusion immédiate. </w:t>
      </w:r>
    </w:p>
    <w:p>
      <w:pPr>
        <w:pStyle w:val="Normal"/>
        <w:spacing w:before="0" w:after="120"/>
        <w:jc w:val="both"/>
        <w:rPr/>
      </w:pPr>
      <w:r>
        <w:rPr/>
        <w:t>Le retrait non consenti d’un préservatif en cours d’acte constitue une atteinte au consentement au sens de l’article 222-22 du code pénal et entraîne l’expulsion et le signalement.</w:t>
      </w:r>
    </w:p>
    <w:p>
      <w:pPr>
        <w:pStyle w:val="Normal"/>
        <w:keepNext w:val="true"/>
        <w:spacing w:before="360" w:after="160"/>
        <w:rPr/>
      </w:pPr>
      <w:r>
        <w:rPr>
          <w:b/>
          <w:bCs/>
          <w:sz w:val="26"/>
          <w:szCs w:val="26"/>
        </w:rPr>
        <w:t>Titre III — Santé et hygiène</w:t>
      </w:r>
    </w:p>
    <w:p>
      <w:pPr>
        <w:pStyle w:val="Normal"/>
        <w:keepNext w:val="true"/>
        <w:spacing w:before="260" w:after="100"/>
        <w:rPr/>
      </w:pPr>
      <w:r>
        <w:rPr>
          <w:b/>
          <w:bCs/>
          <w:sz w:val="22"/>
          <w:szCs w:val="22"/>
        </w:rPr>
        <w:t>Article 15 — Prévention</w:t>
      </w:r>
    </w:p>
    <w:p>
      <w:pPr>
        <w:pStyle w:val="Normal"/>
        <w:spacing w:before="0" w:after="120"/>
        <w:jc w:val="both"/>
        <w:rPr/>
      </w:pPr>
      <w:r>
        <w:rPr/>
        <w:t xml:space="preserve">Un dépistage récent des infections sexuellement transmissibles est vivement recommandé à tous les Participants. </w:t>
      </w:r>
    </w:p>
    <w:p>
      <w:pPr>
        <w:pStyle w:val="Normal"/>
        <w:spacing w:before="0" w:after="120"/>
        <w:jc w:val="both"/>
        <w:rPr/>
      </w:pPr>
      <w:r>
        <w:rPr/>
        <w:t>Les centres gratuits d’information, de dépistage et de diagnostic assurent ce service gratuitement et sans condition.</w:t>
      </w:r>
    </w:p>
    <w:p>
      <w:pPr>
        <w:pStyle w:val="Normal"/>
        <w:spacing w:before="0" w:after="120"/>
        <w:jc w:val="both"/>
        <w:rPr/>
      </w:pPr>
      <w:r>
        <w:rPr/>
        <w:t xml:space="preserve">L’Organisateur </w:t>
      </w:r>
      <w:r>
        <w:rPr>
          <w:b/>
          <w:bCs/>
        </w:rPr>
        <w:t>ne demande, ne recueille et ne conserve aucune donnée relative à l’état de santé</w:t>
      </w:r>
      <w:r>
        <w:rPr/>
        <w:t xml:space="preserve"> des Participants. </w:t>
      </w:r>
    </w:p>
    <w:p>
      <w:pPr>
        <w:pStyle w:val="Normal"/>
        <w:spacing w:before="0" w:after="120"/>
        <w:jc w:val="both"/>
        <w:rPr/>
      </w:pPr>
      <w:r>
        <w:rPr/>
        <w:t xml:space="preserve">Nul ne peut être interrogé sur son statut sérologique ni contraint de le révéler. </w:t>
      </w:r>
    </w:p>
    <w:p>
      <w:pPr>
        <w:pStyle w:val="Normal"/>
        <w:spacing w:before="0" w:after="120"/>
        <w:jc w:val="both"/>
        <w:rPr/>
      </w:pPr>
      <w:r>
        <w:rPr/>
        <w:t>Nul ne peut davantage subir de discrimination à raison de son état de santé, l’article 225-1 du code pénal réprimant une telle distinction.</w:t>
      </w:r>
    </w:p>
    <w:p>
      <w:pPr>
        <w:pStyle w:val="Normal"/>
        <w:keepNext w:val="true"/>
        <w:spacing w:before="260" w:after="100"/>
        <w:rPr/>
      </w:pPr>
      <w:r>
        <w:rPr>
          <w:b/>
          <w:bCs/>
          <w:sz w:val="22"/>
          <w:szCs w:val="22"/>
        </w:rPr>
        <w:t>Article 16 — Hygiène</w:t>
      </w:r>
    </w:p>
    <w:p>
      <w:pPr>
        <w:pStyle w:val="Normal"/>
        <w:spacing w:before="0" w:after="120"/>
        <w:jc w:val="both"/>
        <w:rPr/>
      </w:pPr>
      <w:r>
        <w:rPr/>
        <w:t xml:space="preserve">Les Participants sont tenus de se rendre obligatoirement, à leur arrivée, aux sanitaires prévus à cet effet. </w:t>
      </w:r>
    </w:p>
    <w:p>
      <w:pPr>
        <w:pStyle w:val="Normal"/>
        <w:spacing w:before="0" w:after="120"/>
        <w:jc w:val="both"/>
        <w:rPr/>
      </w:pPr>
      <w:r>
        <w:rPr/>
        <w:t xml:space="preserve">Linge propre fourni et renouvelé. </w:t>
      </w:r>
    </w:p>
    <w:p>
      <w:pPr>
        <w:pStyle w:val="Normal"/>
        <w:spacing w:before="0" w:after="120"/>
        <w:jc w:val="both"/>
        <w:rPr/>
      </w:pPr>
      <w:r>
        <w:rPr/>
        <w:t xml:space="preserve">Nettoyage et désinfection des surfaces entre chaque usage. </w:t>
      </w:r>
    </w:p>
    <w:p>
      <w:pPr>
        <w:pStyle w:val="Normal"/>
        <w:spacing w:before="0" w:after="120"/>
        <w:jc w:val="both"/>
        <w:rPr/>
      </w:pPr>
      <w:r>
        <w:rPr/>
        <w:t xml:space="preserve">Accessoires personnels non partagés ou protégés. </w:t>
      </w:r>
    </w:p>
    <w:p>
      <w:pPr>
        <w:pStyle w:val="Normal"/>
        <w:spacing w:before="0" w:after="120"/>
        <w:jc w:val="both"/>
        <w:rPr/>
      </w:pPr>
      <w:r>
        <w:rPr/>
        <w:t xml:space="preserve">Trousse de premiers secours accessible et signalée. </w:t>
      </w:r>
    </w:p>
    <w:p>
      <w:pPr>
        <w:pStyle w:val="Normal"/>
        <w:spacing w:before="0" w:after="120"/>
        <w:jc w:val="both"/>
        <w:rPr/>
      </w:pPr>
      <w:r>
        <w:rPr/>
        <w:t>Coordonnées des services d’urgence affichées.</w:t>
      </w:r>
    </w:p>
    <w:p>
      <w:pPr>
        <w:pStyle w:val="Normal"/>
        <w:keepNext w:val="true"/>
        <w:spacing w:before="360" w:after="160"/>
        <w:rPr/>
      </w:pPr>
      <w:r>
        <w:rPr>
          <w:b/>
          <w:bCs/>
          <w:sz w:val="26"/>
          <w:szCs w:val="26"/>
        </w:rPr>
        <w:t>Titre IV — Organisation et encadrement</w:t>
      </w:r>
    </w:p>
    <w:p>
      <w:pPr>
        <w:pStyle w:val="Normal"/>
        <w:keepNext w:val="true"/>
        <w:spacing w:before="260" w:after="100"/>
        <w:rPr/>
      </w:pPr>
      <w:r>
        <w:rPr>
          <w:b/>
          <w:bCs/>
          <w:sz w:val="22"/>
          <w:szCs w:val="22"/>
        </w:rPr>
        <w:t>Article 17 — Le Référent consentement</w:t>
      </w:r>
    </w:p>
    <w:p>
      <w:pPr>
        <w:pStyle w:val="Normal"/>
        <w:spacing w:before="0" w:after="120"/>
        <w:jc w:val="both"/>
        <w:rPr/>
      </w:pPr>
      <w:r>
        <w:rPr/>
        <w:t xml:space="preserve">L’Organisateur désigne, pour chaque Événement, un Référent consentement, majeur, identifiable par un signe distinctif, </w:t>
      </w:r>
      <w:r>
        <w:rPr>
          <w:b/>
          <w:bCs/>
        </w:rPr>
        <w:t>non participant et strictement sobre</w:t>
      </w:r>
      <w:r>
        <w:rPr/>
        <w:t>, présent du début à la fin. Sa mission :</w:t>
      </w:r>
    </w:p>
    <w:p>
      <w:pPr>
        <w:pStyle w:val="ListParagraph"/>
        <w:numPr>
          <w:ilvl w:val="0"/>
          <w:numId w:val="3"/>
        </w:numPr>
        <w:spacing w:before="0" w:after="80"/>
        <w:jc w:val="both"/>
        <w:rPr/>
      </w:pPr>
      <w:r>
        <w:rPr/>
        <w:t xml:space="preserve"> </w:t>
      </w:r>
      <w:r>
        <w:rPr/>
        <w:t>Conduire le briefing d’ouverture et le contrôle des accès ;</w:t>
      </w:r>
    </w:p>
    <w:p>
      <w:pPr>
        <w:pStyle w:val="ListParagraph"/>
        <w:numPr>
          <w:ilvl w:val="0"/>
          <w:numId w:val="1"/>
        </w:numPr>
        <w:spacing w:before="0" w:after="80"/>
        <w:jc w:val="both"/>
        <w:rPr/>
      </w:pPr>
      <w:r>
        <w:rPr/>
        <w:t xml:space="preserve"> </w:t>
      </w:r>
      <w:r>
        <w:rPr/>
        <w:t>Circuler en permanence et veiller au respect de la présente charte ;</w:t>
      </w:r>
    </w:p>
    <w:p>
      <w:pPr>
        <w:pStyle w:val="ListParagraph"/>
        <w:numPr>
          <w:ilvl w:val="0"/>
          <w:numId w:val="1"/>
        </w:numPr>
        <w:spacing w:before="0" w:after="80"/>
        <w:jc w:val="both"/>
        <w:rPr/>
      </w:pPr>
      <w:r>
        <w:rPr/>
        <w:t xml:space="preserve"> </w:t>
      </w:r>
      <w:r>
        <w:rPr/>
        <w:t>Recueillir tout signalement et y donner suite sans délai ;</w:t>
      </w:r>
    </w:p>
    <w:p>
      <w:pPr>
        <w:pStyle w:val="ListParagraph"/>
        <w:numPr>
          <w:ilvl w:val="0"/>
          <w:numId w:val="1"/>
        </w:numPr>
        <w:spacing w:before="0" w:after="80"/>
        <w:jc w:val="both"/>
        <w:rPr/>
      </w:pPr>
      <w:r>
        <w:rPr/>
        <w:t xml:space="preserve"> </w:t>
      </w:r>
      <w:r>
        <w:rPr/>
        <w:t>Prononcer l’arrêt d’une interaction et l’expulsion d’un Participant ;</w:t>
      </w:r>
    </w:p>
    <w:p>
      <w:pPr>
        <w:pStyle w:val="ListParagraph"/>
        <w:numPr>
          <w:ilvl w:val="0"/>
          <w:numId w:val="1"/>
        </w:numPr>
        <w:spacing w:before="0" w:after="80"/>
        <w:jc w:val="both"/>
        <w:rPr/>
      </w:pPr>
      <w:r>
        <w:rPr/>
        <w:t xml:space="preserve"> </w:t>
      </w:r>
      <w:r>
        <w:rPr/>
        <w:t>Accompagner toute personne vers l’espace de retrait ;</w:t>
      </w:r>
    </w:p>
    <w:p>
      <w:pPr>
        <w:pStyle w:val="ListParagraph"/>
        <w:numPr>
          <w:ilvl w:val="0"/>
          <w:numId w:val="1"/>
        </w:numPr>
        <w:spacing w:before="0" w:after="80"/>
        <w:jc w:val="both"/>
        <w:rPr/>
      </w:pPr>
      <w:r>
        <w:rPr/>
        <w:t xml:space="preserve"> </w:t>
      </w:r>
      <w:r>
        <w:rPr/>
        <w:t>Tenir le registre des incidents.</w:t>
      </w:r>
    </w:p>
    <w:p>
      <w:pPr>
        <w:pStyle w:val="Normal"/>
        <w:spacing w:before="0" w:after="120"/>
        <w:jc w:val="both"/>
        <w:rPr/>
      </w:pPr>
      <w:r>
        <w:rPr/>
        <w:t xml:space="preserve">Ses instructions sont d’application immédiate et ne se discutent pas. </w:t>
      </w:r>
    </w:p>
    <w:p>
      <w:pPr>
        <w:pStyle w:val="Normal"/>
        <w:spacing w:before="0" w:after="120"/>
        <w:jc w:val="both"/>
        <w:rPr/>
      </w:pPr>
      <w:r>
        <w:rPr/>
        <w:t>Sa décision d’arrêt ou d’expulsion est exécutoire sur-le-champ.</w:t>
      </w:r>
    </w:p>
    <w:p>
      <w:pPr>
        <w:pStyle w:val="Normal"/>
        <w:keepNext w:val="true"/>
        <w:spacing w:before="260" w:after="100"/>
        <w:rPr/>
      </w:pPr>
      <w:r>
        <w:rPr>
          <w:b/>
          <w:bCs/>
          <w:sz w:val="22"/>
          <w:szCs w:val="22"/>
        </w:rPr>
        <w:t>Article 18 — Briefing d’ouverture</w:t>
      </w:r>
    </w:p>
    <w:p>
      <w:pPr>
        <w:pStyle w:val="Normal"/>
        <w:spacing w:before="0" w:after="120"/>
        <w:jc w:val="both"/>
        <w:rPr/>
      </w:pPr>
      <w:r>
        <w:rPr/>
        <w:t>Aucune activité ne commence avant la tenue d’un briefing collectif, obligatoire, rappelant : le mot d’arrêt, la révocabilité du consentement, l’interdiction des captations, l’interdiction des flux financiers, l’emplacement de l’espace de retrait, des protections et de la trousse de secours, et l’identité du Référent consentement.</w:t>
      </w:r>
    </w:p>
    <w:p>
      <w:pPr>
        <w:pStyle w:val="Normal"/>
        <w:keepNext w:val="true"/>
        <w:spacing w:before="260" w:after="100"/>
        <w:rPr/>
      </w:pPr>
      <w:r>
        <w:rPr>
          <w:b/>
          <w:bCs/>
          <w:sz w:val="22"/>
          <w:szCs w:val="22"/>
        </w:rPr>
        <w:t>Article 19 — Espace de retrait</w:t>
      </w:r>
    </w:p>
    <w:p>
      <w:pPr>
        <w:pStyle w:val="Normal"/>
        <w:spacing w:before="0" w:after="120"/>
        <w:jc w:val="both"/>
        <w:rPr/>
      </w:pPr>
      <w:r>
        <w:rPr/>
        <w:t xml:space="preserve">Un espace calme, éclairé, chauffé, distinct des zones d’activité et pourvu d’eau et de vêtements est mis à disposition en permanence. </w:t>
      </w:r>
    </w:p>
    <w:p>
      <w:pPr>
        <w:pStyle w:val="Normal"/>
        <w:spacing w:before="0" w:after="120"/>
        <w:jc w:val="both"/>
        <w:rPr/>
      </w:pPr>
      <w:r>
        <w:rPr/>
        <w:t xml:space="preserve">Toute personne peut s’y rendre à tout moment, sans avoir à se justifier. </w:t>
      </w:r>
    </w:p>
    <w:p>
      <w:pPr>
        <w:pStyle w:val="Normal"/>
        <w:spacing w:before="0" w:after="120"/>
        <w:jc w:val="both"/>
        <w:rPr/>
      </w:pPr>
      <w:r>
        <w:rPr/>
        <w:t>Nul ne peut y suivre une personne sans y être invité, à l’exception du Référent consentement.</w:t>
      </w:r>
    </w:p>
    <w:p>
      <w:pPr>
        <w:pStyle w:val="Normal"/>
        <w:keepNext w:val="true"/>
        <w:spacing w:before="260" w:after="100"/>
        <w:rPr/>
      </w:pPr>
      <w:r>
        <w:rPr>
          <w:b/>
          <w:bCs/>
          <w:sz w:val="22"/>
          <w:szCs w:val="22"/>
        </w:rPr>
        <w:t>Article 20 — Fin d’Événement</w:t>
      </w:r>
    </w:p>
    <w:p>
      <w:pPr>
        <w:pStyle w:val="Normal"/>
        <w:spacing w:before="0" w:after="120"/>
        <w:jc w:val="both"/>
        <w:rPr/>
      </w:pPr>
      <w:r>
        <w:rPr/>
        <w:t xml:space="preserve">L’heure de fin est annoncée. </w:t>
      </w:r>
    </w:p>
    <w:p>
      <w:pPr>
        <w:pStyle w:val="Normal"/>
        <w:spacing w:before="0" w:after="120"/>
        <w:jc w:val="both"/>
        <w:rPr/>
      </w:pPr>
      <w:r>
        <w:rPr/>
        <w:t xml:space="preserve">Aucun Participant n’est contraint de rester. </w:t>
      </w:r>
    </w:p>
    <w:p>
      <w:pPr>
        <w:pStyle w:val="Normal"/>
        <w:spacing w:before="0" w:after="120"/>
        <w:jc w:val="both"/>
        <w:rPr/>
      </w:pPr>
      <w:r>
        <w:rPr/>
        <w:t>L’Organisateur s’assure que chacun quitte les lieux en sécurité et facilite, si nécessaire, l’appel d’un transport.</w:t>
      </w:r>
    </w:p>
    <w:p>
      <w:pPr>
        <w:pStyle w:val="Normal"/>
        <w:keepNext w:val="true"/>
        <w:spacing w:before="360" w:after="160"/>
        <w:rPr/>
      </w:pPr>
      <w:r>
        <w:rPr>
          <w:b/>
          <w:bCs/>
          <w:sz w:val="26"/>
          <w:szCs w:val="26"/>
        </w:rPr>
        <w:t>Titre V — Respect de la personne</w:t>
      </w:r>
    </w:p>
    <w:p>
      <w:pPr>
        <w:pStyle w:val="Normal"/>
        <w:keepNext w:val="true"/>
        <w:spacing w:before="260" w:after="100"/>
        <w:rPr/>
      </w:pPr>
      <w:r>
        <w:rPr>
          <w:b/>
          <w:bCs/>
          <w:sz w:val="22"/>
          <w:szCs w:val="22"/>
        </w:rPr>
        <w:t>Article 21 — Non-discrimination</w:t>
      </w:r>
    </w:p>
    <w:p>
      <w:pPr>
        <w:pStyle w:val="Normal"/>
        <w:spacing w:before="0" w:after="120"/>
        <w:jc w:val="both"/>
        <w:rPr/>
      </w:pPr>
      <w:r>
        <w:rPr/>
        <w:t>Toute distinction fondée sur l’origine, le sexe, la situation de famille, l’apparence physique, l’état de santé, le handicap, les mœurs, l’orientation sexuelle, l’identité de genre, l’âge, les opinions politiques, les activités syndicales, l’appartenance ou la non-appartenance, vraie ou supposée, à une ethnie, une nation, une prétendue race ou une religion déterminée est prohibée, conformément aux articles 225-1 et 225-2 du code pénal.</w:t>
      </w:r>
    </w:p>
    <w:p>
      <w:pPr>
        <w:pStyle w:val="Normal"/>
        <w:spacing w:before="0" w:after="120"/>
        <w:jc w:val="both"/>
        <w:rPr/>
      </w:pPr>
      <w:r>
        <w:rPr/>
        <w:t>Aucun propos ou scénario à connotation raciste, antisémite, xénophobe, sexiste, homophobe ou transphobe n’est admis, y compris sous couvert d’humour ou de jeu de rôle.</w:t>
      </w:r>
    </w:p>
    <w:p>
      <w:pPr>
        <w:pStyle w:val="Normal"/>
        <w:keepNext w:val="true"/>
        <w:spacing w:before="260" w:after="100"/>
        <w:rPr/>
      </w:pPr>
      <w:r>
        <w:rPr>
          <w:b/>
          <w:bCs/>
          <w:sz w:val="22"/>
          <w:szCs w:val="22"/>
        </w:rPr>
        <w:t>Article 22 — Langage et attitude</w:t>
      </w:r>
    </w:p>
    <w:p>
      <w:pPr>
        <w:pStyle w:val="Normal"/>
        <w:spacing w:before="0" w:after="120"/>
        <w:jc w:val="both"/>
        <w:rPr/>
      </w:pPr>
      <w:r>
        <w:rPr/>
        <w:t xml:space="preserve">Les propos dégradants, les injures, les commentaires non sollicités sur le corps d’autrui et les gestes intrusifs sont interdits. </w:t>
      </w:r>
    </w:p>
    <w:p>
      <w:pPr>
        <w:pStyle w:val="Normal"/>
        <w:spacing w:before="0" w:after="120"/>
        <w:jc w:val="both"/>
        <w:rPr/>
      </w:pPr>
      <w:r>
        <w:rPr/>
        <w:t xml:space="preserve">On demande avant de toucher. </w:t>
      </w:r>
    </w:p>
    <w:p>
      <w:pPr>
        <w:pStyle w:val="Normal"/>
        <w:spacing w:before="0" w:after="120"/>
        <w:jc w:val="both"/>
        <w:rPr/>
      </w:pPr>
      <w:r>
        <w:rPr/>
        <w:t xml:space="preserve">On s’écarte lorsqu’on n’est pas invité. </w:t>
      </w:r>
    </w:p>
    <w:p>
      <w:pPr>
        <w:pStyle w:val="Normal"/>
        <w:spacing w:before="0" w:after="120"/>
        <w:jc w:val="both"/>
        <w:rPr/>
      </w:pPr>
      <w:r>
        <w:rPr/>
        <w:t>On ne commente pas la performance, l’anatomie ou les refus d’autrui.</w:t>
      </w:r>
    </w:p>
    <w:p>
      <w:pPr>
        <w:pStyle w:val="Normal"/>
        <w:keepNext w:val="true"/>
        <w:spacing w:before="260" w:after="100"/>
        <w:rPr/>
      </w:pPr>
      <w:r>
        <w:rPr>
          <w:b/>
          <w:bCs/>
          <w:sz w:val="22"/>
          <w:szCs w:val="22"/>
        </w:rPr>
        <w:t>Article 23 — Confidentialité</w:t>
      </w:r>
    </w:p>
    <w:p>
      <w:pPr>
        <w:pStyle w:val="Normal"/>
        <w:spacing w:before="0" w:after="120"/>
        <w:jc w:val="both"/>
        <w:rPr/>
      </w:pPr>
      <w:r>
        <w:rPr>
          <w:b/>
          <w:bCs/>
        </w:rPr>
        <w:t>Ce qui se dit et se voit lors d’un Événement n’en sort pas.</w:t>
      </w:r>
      <w:r>
        <w:rPr/>
        <w:t xml:space="preserve"> </w:t>
      </w:r>
    </w:p>
    <w:p>
      <w:pPr>
        <w:pStyle w:val="Normal"/>
        <w:spacing w:before="0" w:after="120"/>
        <w:jc w:val="both"/>
        <w:rPr/>
      </w:pPr>
      <w:r>
        <w:rPr/>
        <w:t>Il est interdit de révéler la présence, l’identité, l’apparence, les propos ou les pratiques d’un autre Participant, y compris de manière allusive, y compris à un proche, y compris longtemps après.</w:t>
      </w:r>
    </w:p>
    <w:p>
      <w:pPr>
        <w:pStyle w:val="Normal"/>
        <w:spacing w:before="0" w:after="120"/>
        <w:jc w:val="both"/>
        <w:rPr/>
      </w:pPr>
      <w:r>
        <w:rPr/>
        <w:t>Il est interdit de reconnaître publiquement un autre Participant hors de l’Événement, de le contacter sans son accord préalable, de le rechercher sur les réseaux sociaux ou de le solliciter par un autre canal.</w:t>
      </w:r>
    </w:p>
    <w:p>
      <w:pPr>
        <w:pStyle w:val="Normal"/>
        <w:keepNext w:val="true"/>
        <w:spacing w:before="360" w:after="160"/>
        <w:rPr/>
      </w:pPr>
      <w:r>
        <w:rPr>
          <w:b/>
          <w:bCs/>
          <w:sz w:val="26"/>
          <w:szCs w:val="26"/>
        </w:rPr>
        <w:t>Titre VI — Signalement, sanctions et accompagnement</w:t>
      </w:r>
    </w:p>
    <w:p>
      <w:pPr>
        <w:pStyle w:val="Normal"/>
        <w:keepNext w:val="true"/>
        <w:spacing w:before="260" w:after="100"/>
        <w:rPr/>
      </w:pPr>
      <w:r>
        <w:rPr>
          <w:b/>
          <w:bCs/>
          <w:sz w:val="22"/>
          <w:szCs w:val="22"/>
        </w:rPr>
        <w:t>Article 24 — Signalement</w:t>
      </w:r>
    </w:p>
    <w:p>
      <w:pPr>
        <w:pStyle w:val="Normal"/>
        <w:spacing w:before="0" w:after="120"/>
        <w:jc w:val="both"/>
        <w:rPr/>
      </w:pPr>
      <w:r>
        <w:rPr/>
        <w:t>Tout Participant témoin ou victime d’un manquement doit alerter le Référent consentement, immédiatement ou ultérieurement, par oral sur place ou par écrit à (</w:t>
      </w:r>
      <w:r>
        <w:rPr>
          <w:color w:val="EE0000"/>
        </w:rPr>
        <w:t>gbhfrance@gmail.</w:t>
      </w:r>
      <w:r>
        <w:rPr/>
        <w:t xml:space="preserve">). </w:t>
      </w:r>
    </w:p>
    <w:p>
      <w:pPr>
        <w:pStyle w:val="Normal"/>
        <w:spacing w:before="0" w:after="120"/>
        <w:jc w:val="both"/>
        <w:rPr/>
      </w:pPr>
      <w:r>
        <w:rPr/>
        <w:t>Le signalement peut être fait de manière confidentielle.</w:t>
      </w:r>
    </w:p>
    <w:p>
      <w:pPr>
        <w:pStyle w:val="Normal"/>
        <w:spacing w:before="0" w:after="120"/>
        <w:jc w:val="both"/>
        <w:rPr/>
      </w:pPr>
      <w:r>
        <w:rPr/>
        <w:t xml:space="preserve">Aucune mesure défavorable ne peut être prise à l’encontre de l’auteur d’un signalement de bonne foi. </w:t>
      </w:r>
    </w:p>
    <w:p>
      <w:pPr>
        <w:pStyle w:val="Normal"/>
        <w:spacing w:before="0" w:after="120"/>
        <w:jc w:val="both"/>
        <w:rPr/>
      </w:pPr>
      <w:r>
        <w:rPr/>
        <w:t>La tentative de dissuader une personne de signaler constitue elle-même une faute grave.</w:t>
      </w:r>
    </w:p>
    <w:p>
      <w:pPr>
        <w:pStyle w:val="Normal"/>
        <w:keepNext w:val="true"/>
        <w:spacing w:before="260" w:after="100"/>
        <w:rPr/>
      </w:pPr>
      <w:r>
        <w:rPr>
          <w:b/>
          <w:bCs/>
          <w:sz w:val="22"/>
          <w:szCs w:val="22"/>
        </w:rPr>
        <w:t>Article 25 — Mesures conservatoires</w:t>
      </w:r>
    </w:p>
    <w:p>
      <w:pPr>
        <w:pStyle w:val="Normal"/>
        <w:spacing w:before="0" w:after="120"/>
        <w:jc w:val="both"/>
        <w:rPr/>
      </w:pPr>
      <w:r>
        <w:rPr/>
        <w:t>Sur signalement, le Référent consentement fait cesser immédiatement l’interaction en cause, sépare les personnes concernées, met la personne signalante à l’abri et recueille sa parole sans la mettre en doute, sans lui demander de justifier son ressenti et sans procéder à un interrogatoire.</w:t>
      </w:r>
    </w:p>
    <w:p>
      <w:pPr>
        <w:pStyle w:val="Normal"/>
        <w:keepNext w:val="true"/>
        <w:spacing w:before="260" w:after="100"/>
        <w:rPr/>
      </w:pPr>
      <w:r>
        <w:rPr>
          <w:b/>
          <w:bCs/>
          <w:sz w:val="22"/>
          <w:szCs w:val="22"/>
        </w:rPr>
        <w:t>Article 26 — Échelle des sanctions</w:t>
      </w:r>
    </w:p>
    <w:tbl>
      <w:tblPr>
        <w:tblW w:w="8800" w:type="dxa"/>
        <w:jc w:val="start"/>
        <w:tblInd w:w="0" w:type="dxa"/>
        <w:tblLayout w:type="fixed"/>
        <w:tblCellMar>
          <w:top w:w="60" w:type="dxa"/>
          <w:start w:w="100" w:type="dxa"/>
          <w:bottom w:w="60" w:type="dxa"/>
          <w:end w:w="100" w:type="dxa"/>
        </w:tblCellMar>
        <w:tblLook w:val="04a0" w:firstRow="1" w:noVBand="1" w:lastRow="0" w:firstColumn="1" w:lastColumn="0" w:noHBand="0"/>
      </w:tblPr>
      <w:tblGrid>
        <w:gridCol w:w="4200"/>
        <w:gridCol w:w="4600"/>
      </w:tblGrid>
      <w:tr>
        <w:trPr>
          <w:tblHeader w:val="true"/>
          <w:cantSplit/>
        </w:trPr>
        <w:tc>
          <w:tcPr>
            <w:tcW w:w="4200"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40"/>
              <w:rPr/>
            </w:pPr>
            <w:r>
              <w:rPr>
                <w:b/>
                <w:bCs/>
                <w:sz w:val="19"/>
                <w:szCs w:val="19"/>
              </w:rPr>
              <w:t>Manquement</w:t>
            </w:r>
          </w:p>
        </w:tc>
        <w:tc>
          <w:tcPr>
            <w:tcW w:w="4600"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40"/>
              <w:rPr/>
            </w:pPr>
            <w:r>
              <w:rPr>
                <w:b/>
                <w:bCs/>
                <w:sz w:val="19"/>
                <w:szCs w:val="19"/>
              </w:rPr>
              <w:t>Sanction</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Propos déplacé, insistance légère, geste intrusif isolé</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Rappel à l’ordre formel, consigné au registre</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Réitération après rappel à l’ordre ; refus d’obtempérer</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Exclusion de l’Événement en cours, sans remboursement</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Non-respect du mot d’arrêt ; poursuite d’un acte après retrait du consentement</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Expulsion immédiate, radiation définitive, signalement</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Captation ou diffusion d’images ou de sons</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Expulsion immédiate, radiation définitive, poursuites civiles et pénales</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Offre, sollicitation ou acceptation d’une contrepartie</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Expulsion immédiate, radiation définitive, signalement</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Introduction de stupéfiants ; administration d’une substance à l’insu d’autrui</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Expulsion immédiate, radiation définitive, signalement sans délai aux services de police ou de gendarmerie</w:t>
            </w:r>
          </w:p>
        </w:tc>
      </w:tr>
      <w:tr>
        <w:trPr>
          <w:cantSplit/>
        </w:trPr>
        <w:tc>
          <w:tcPr>
            <w:tcW w:w="42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Violence sexuelle ; présence ou évocation d’un mineur</w:t>
            </w:r>
          </w:p>
        </w:tc>
        <w:tc>
          <w:tcPr>
            <w:tcW w:w="460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40"/>
              <w:rPr/>
            </w:pPr>
            <w:r>
              <w:rPr>
                <w:sz w:val="19"/>
                <w:szCs w:val="19"/>
              </w:rPr>
              <w:t>Suspension de l’Événement, préservation des lieux et des éléments de preuve, signalement immédiat aux autorités</w:t>
            </w:r>
          </w:p>
        </w:tc>
      </w:tr>
    </w:tbl>
    <w:p>
      <w:pPr>
        <w:pStyle w:val="Normal"/>
        <w:keepNext w:val="true"/>
        <w:spacing w:before="260" w:after="100"/>
        <w:rPr/>
      </w:pPr>
      <w:r>
        <w:rPr>
          <w:b/>
          <w:bCs/>
          <w:sz w:val="22"/>
          <w:szCs w:val="22"/>
        </w:rPr>
        <w:t>Article 27 — Accompagnement de la personne concernée</w:t>
      </w:r>
    </w:p>
    <w:p>
      <w:pPr>
        <w:pStyle w:val="Normal"/>
        <w:spacing w:before="0" w:after="120"/>
        <w:jc w:val="both"/>
        <w:rPr/>
      </w:pPr>
      <w:r>
        <w:rPr/>
        <w:t>La personne se déclarant victime est informée, sans pression et sans injonction, de ses droits : la faculté de déposer plainte auprès de tout service de police ou de gendarmerie ou auprès du procureur de la République ; la possibilité de consulter une unité médico-judiciaire ; l’existence de dispositifs d’écoute gratuits et confidentiels, notamment le 3919 et le 116 006 (France Victimes), ainsi que le portail de signalement en ligne des violences sexuelles et sexistes.</w:t>
      </w:r>
    </w:p>
    <w:p>
      <w:pPr>
        <w:pStyle w:val="Normal"/>
        <w:spacing w:before="0" w:after="120"/>
        <w:jc w:val="both"/>
        <w:rPr/>
      </w:pPr>
      <w:r>
        <w:rPr/>
        <w:t xml:space="preserve">L’Organisateur lui propose une aide matérielle immédiate — mise à l’abri, transport, accompagnement — et conserve, à sa disposition, les éléments objectifs consignés au registre des incidents. </w:t>
      </w:r>
    </w:p>
    <w:p>
      <w:pPr>
        <w:pStyle w:val="Normal"/>
        <w:spacing w:before="0" w:after="120"/>
        <w:jc w:val="both"/>
        <w:rPr/>
      </w:pPr>
      <w:r>
        <w:rPr/>
        <w:t>Il ne procède à aucune enquête interne, ne confronte pas les personnes et ne se substitue pas aux autorités judiciaires.</w:t>
      </w:r>
    </w:p>
    <w:p>
      <w:pPr>
        <w:pStyle w:val="Normal"/>
        <w:keepNext w:val="true"/>
        <w:spacing w:before="260" w:after="100"/>
        <w:rPr/>
      </w:pPr>
      <w:r>
        <w:rPr>
          <w:b/>
          <w:bCs/>
          <w:sz w:val="22"/>
          <w:szCs w:val="22"/>
        </w:rPr>
        <w:t>Article 28 — Obligations de l’Organisateur</w:t>
      </w:r>
    </w:p>
    <w:p>
      <w:pPr>
        <w:pStyle w:val="Normal"/>
        <w:spacing w:before="0" w:after="120"/>
        <w:jc w:val="both"/>
        <w:rPr/>
      </w:pPr>
      <w:r>
        <w:rPr/>
        <w:t xml:space="preserve">L’Organisateur s’interdit de dissuader une personne de saisir les autorités, de subordonner une aide à un renoncement, de proposer une transaction ou de faire signer un quelconque engagement de silence portant sur des faits susceptibles de constituer une infraction. </w:t>
      </w:r>
    </w:p>
    <w:p>
      <w:pPr>
        <w:pStyle w:val="Normal"/>
        <w:spacing w:before="0" w:after="120"/>
        <w:jc w:val="both"/>
        <w:rPr/>
      </w:pPr>
      <w:r>
        <w:rPr/>
        <w:t>Une clause de confidentialité ne peut jamais faire obstacle à un dépôt de plainte, à un témoignage ou à un signalement.</w:t>
      </w:r>
    </w:p>
    <w:p>
      <w:pPr>
        <w:pStyle w:val="Normal"/>
        <w:spacing w:before="0" w:after="120"/>
        <w:jc w:val="both"/>
        <w:rPr/>
      </w:pPr>
      <w:r>
        <w:rPr/>
        <w:t>Il conserve à l’esprit les obligations résultant des articles 434-1 et 434-3 du code pénal en matière de dénonciation des crimes et des atteintes aux mineurs et aux personnes vulnérables.</w:t>
      </w:r>
    </w:p>
    <w:p>
      <w:pPr>
        <w:pStyle w:val="Normal"/>
        <w:keepNext w:val="true"/>
        <w:spacing w:before="360" w:after="160"/>
        <w:rPr/>
      </w:pPr>
      <w:r>
        <w:rPr>
          <w:b/>
          <w:bCs/>
          <w:sz w:val="26"/>
          <w:szCs w:val="26"/>
        </w:rPr>
        <w:t>Titre VII — Application</w:t>
      </w:r>
    </w:p>
    <w:p>
      <w:pPr>
        <w:pStyle w:val="Normal"/>
        <w:spacing w:before="0" w:after="120"/>
        <w:jc w:val="both"/>
        <w:rPr/>
      </w:pPr>
      <w:r>
        <w:rPr/>
        <w:t>La présente charte est remise à chaque Membre lors de son adhésion, acceptée par case à cocher lors de chaque réservation, affichée sur le lieu de l’Événement et rappelée lors du briefing d’ouverture.</w:t>
      </w:r>
    </w:p>
    <w:p>
      <w:pPr>
        <w:pStyle w:val="Normal"/>
        <w:spacing w:before="0" w:after="120"/>
        <w:jc w:val="both"/>
        <w:rPr/>
      </w:pPr>
      <w:r>
        <w:rPr/>
        <w:t>Elle est revue au moins une fois par an et à chaque évolution législative significative.</w:t>
      </w:r>
    </w:p>
    <w:p>
      <w:pPr>
        <w:pStyle w:val="Normal"/>
        <w:spacing w:before="0" w:after="120"/>
        <w:jc w:val="both"/>
        <w:rPr/>
      </w:pPr>
      <w:r>
        <w:rPr/>
        <w:t>Toute question relative à son interprétation est tranchée dans le sens le plus protecteur des personnes.</w:t>
      </w:r>
    </w:p>
    <w:sectPr>
      <w:footerReference w:type="even" r:id="rId2"/>
      <w:footerReference w:type="default" r:id="rId3"/>
      <w:footerReference w:type="first" r:id="rId4"/>
      <w:type w:val="nextPage"/>
      <w:pgSz w:w="11906" w:h="16838"/>
      <w:pgMar w:left="1304" w:right="1304" w:gutter="0" w:header="0" w:top="1247" w:footer="567"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Garamond">
    <w:charset w:val="00" w:characterSet="windows-1252"/>
    <w:family w:val="roman"/>
    <w:pitch w:val="variable"/>
  </w:font>
  <w:font w:name="Liberation Sans">
    <w:altName w:val="Arial"/>
    <w:charset w:val="00" w:characterSet="windows-1252"/>
    <w:family w:val="swiss"/>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20" w:after="0"/>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20" w:after="0"/>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54" w:hanging="227"/>
      </w:pPr>
      <w:rPr>
        <w:rFonts w:ascii="Garamond" w:hAnsi="Garamond" w:cs="Garamond" w:hint="default"/>
        <w:color w:val="000000"/>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aramond" w:hAnsi="Garamond" w:eastAsia="Garamond" w:cs="Garamond"/>
        <w:color w:val="000000"/>
        <w:sz w:val="21"/>
        <w:szCs w:val="21"/>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64" w:before="0" w:after="0"/>
      <w:jc w:val="start"/>
    </w:pPr>
    <w:rPr>
      <w:rFonts w:ascii="Garamond" w:hAnsi="Garamond" w:eastAsia="Garamond" w:cs="Garamond"/>
      <w:color w:val="000000"/>
      <w:kern w:val="0"/>
      <w:sz w:val="21"/>
      <w:szCs w:val="21"/>
      <w:lang w:val="fr-FR" w:eastAsia="fr-FR" w:bidi="ar-SA"/>
    </w:rPr>
  </w:style>
  <w:style w:type="paragraph" w:styleId="Heading1">
    <w:name w:val="heading 1"/>
    <w:uiPriority w:val="9"/>
    <w:qFormat/>
    <w:pPr>
      <w:widowControl/>
      <w:bidi w:val="0"/>
      <w:spacing w:lineRule="auto" w:line="264" w:before="0" w:after="0"/>
      <w:jc w:val="start"/>
      <w:outlineLvl w:val="0"/>
    </w:pPr>
    <w:rPr>
      <w:rFonts w:ascii="Garamond" w:hAnsi="Garamond" w:eastAsia="Garamond" w:cs="Garamond"/>
      <w:color w:val="2E74B5"/>
      <w:kern w:val="0"/>
      <w:sz w:val="32"/>
      <w:szCs w:val="32"/>
      <w:lang w:val="fr-FR" w:eastAsia="fr-FR" w:bidi="ar-SA"/>
    </w:rPr>
  </w:style>
  <w:style w:type="paragraph" w:styleId="Heading2">
    <w:name w:val="heading 2"/>
    <w:uiPriority w:val="9"/>
    <w:semiHidden/>
    <w:unhideWhenUsed/>
    <w:qFormat/>
    <w:pPr>
      <w:widowControl/>
      <w:bidi w:val="0"/>
      <w:spacing w:lineRule="auto" w:line="264" w:before="0" w:after="0"/>
      <w:jc w:val="start"/>
      <w:outlineLvl w:val="1"/>
    </w:pPr>
    <w:rPr>
      <w:rFonts w:ascii="Garamond" w:hAnsi="Garamond" w:eastAsia="Garamond" w:cs="Garamond"/>
      <w:color w:val="2E74B5"/>
      <w:kern w:val="0"/>
      <w:sz w:val="26"/>
      <w:szCs w:val="26"/>
      <w:lang w:val="fr-FR" w:eastAsia="fr-FR" w:bidi="ar-SA"/>
    </w:rPr>
  </w:style>
  <w:style w:type="paragraph" w:styleId="Heading3">
    <w:name w:val="heading 3"/>
    <w:uiPriority w:val="9"/>
    <w:semiHidden/>
    <w:unhideWhenUsed/>
    <w:qFormat/>
    <w:pPr>
      <w:widowControl/>
      <w:bidi w:val="0"/>
      <w:spacing w:lineRule="auto" w:line="264" w:before="0" w:after="0"/>
      <w:jc w:val="start"/>
      <w:outlineLvl w:val="2"/>
    </w:pPr>
    <w:rPr>
      <w:rFonts w:ascii="Garamond" w:hAnsi="Garamond" w:eastAsia="Garamond" w:cs="Garamond"/>
      <w:color w:val="1F4D78"/>
      <w:kern w:val="0"/>
      <w:sz w:val="24"/>
      <w:szCs w:val="24"/>
      <w:lang w:val="fr-FR" w:eastAsia="fr-FR" w:bidi="ar-SA"/>
    </w:rPr>
  </w:style>
  <w:style w:type="paragraph" w:styleId="Heading4">
    <w:name w:val="heading 4"/>
    <w:uiPriority w:val="9"/>
    <w:semiHidden/>
    <w:unhideWhenUsed/>
    <w:qFormat/>
    <w:pPr>
      <w:widowControl/>
      <w:bidi w:val="0"/>
      <w:spacing w:lineRule="auto" w:line="264" w:before="0" w:after="0"/>
      <w:jc w:val="start"/>
      <w:outlineLvl w:val="3"/>
    </w:pPr>
    <w:rPr>
      <w:rFonts w:ascii="Garamond" w:hAnsi="Garamond" w:eastAsia="Garamond" w:cs="Garamond"/>
      <w:i/>
      <w:iCs/>
      <w:color w:val="2E74B5"/>
      <w:kern w:val="0"/>
      <w:sz w:val="21"/>
      <w:szCs w:val="21"/>
      <w:lang w:val="fr-FR" w:eastAsia="fr-FR" w:bidi="ar-SA"/>
    </w:rPr>
  </w:style>
  <w:style w:type="paragraph" w:styleId="Heading5">
    <w:name w:val="heading 5"/>
    <w:uiPriority w:val="9"/>
    <w:semiHidden/>
    <w:unhideWhenUsed/>
    <w:qFormat/>
    <w:pPr>
      <w:widowControl/>
      <w:bidi w:val="0"/>
      <w:spacing w:lineRule="auto" w:line="264" w:before="0" w:after="0"/>
      <w:jc w:val="start"/>
      <w:outlineLvl w:val="4"/>
    </w:pPr>
    <w:rPr>
      <w:rFonts w:ascii="Garamond" w:hAnsi="Garamond" w:eastAsia="Garamond" w:cs="Garamond"/>
      <w:color w:val="2E74B5"/>
      <w:kern w:val="0"/>
      <w:sz w:val="21"/>
      <w:szCs w:val="21"/>
      <w:lang w:val="fr-FR" w:eastAsia="fr-FR" w:bidi="ar-SA"/>
    </w:rPr>
  </w:style>
  <w:style w:type="paragraph" w:styleId="Heading6">
    <w:name w:val="heading 6"/>
    <w:uiPriority w:val="9"/>
    <w:semiHidden/>
    <w:unhideWhenUsed/>
    <w:qFormat/>
    <w:pPr>
      <w:widowControl/>
      <w:bidi w:val="0"/>
      <w:spacing w:lineRule="auto" w:line="264" w:before="0" w:after="0"/>
      <w:jc w:val="start"/>
      <w:outlineLvl w:val="5"/>
    </w:pPr>
    <w:rPr>
      <w:rFonts w:ascii="Garamond" w:hAnsi="Garamond" w:eastAsia="Garamond" w:cs="Garamond"/>
      <w:color w:val="1F4D78"/>
      <w:kern w:val="0"/>
      <w:sz w:val="21"/>
      <w:szCs w:val="21"/>
      <w:lang w:val="fr-FR" w:eastAsia="fr-FR"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NotedebasdepageCar" w:customStyle="1">
    <w:name w:val="Note de bas de page Car"/>
    <w:uiPriority w:val="99"/>
    <w:semiHidden/>
    <w:unhideWhenUsed/>
    <w:qFormat/>
    <w:rPr>
      <w:sz w:val="20"/>
      <w:szCs w:val="20"/>
    </w:rPr>
  </w:style>
  <w:style w:type="character" w:styleId="Caractresdenotedefin">
    <w:name w:val="Caractères de note de fin"/>
    <w:uiPriority w:val="99"/>
    <w:semiHidden/>
    <w:unhideWhenUsed/>
    <w:qFormat/>
    <w:rPr>
      <w:vertAlign w:val="superscript"/>
    </w:rPr>
  </w:style>
  <w:style w:type="character" w:styleId="EndnoteReference">
    <w:name w:val="endnote reference"/>
    <w:rPr>
      <w:vertAlign w:val="superscript"/>
    </w:rPr>
  </w:style>
  <w:style w:type="character" w:styleId="NotedefinCar" w:customStyle="1">
    <w:name w:val="Note de fin Car"/>
    <w:uiPriority w:val="99"/>
    <w:semiHidden/>
    <w:unhideWhenUsed/>
    <w:qFormat/>
    <w:rPr>
      <w:sz w:val="20"/>
      <w:szCs w:val="20"/>
    </w:rPr>
  </w:style>
  <w:style w:type="character" w:styleId="En-tteCar" w:customStyle="1">
    <w:name w:val="En-tête Car"/>
    <w:basedOn w:val="DefaultParagraphFont"/>
    <w:uiPriority w:val="99"/>
    <w:qFormat/>
    <w:rsid w:val="00475744"/>
    <w:rPr/>
  </w:style>
  <w:style w:type="character" w:styleId="PieddepageCar" w:customStyle="1">
    <w:name w:val="Pied de page Car"/>
    <w:basedOn w:val="DefaultParagraphFont"/>
    <w:uiPriority w:val="99"/>
    <w:qFormat/>
    <w:rsid w:val="00475744"/>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uiPriority w:val="10"/>
    <w:qFormat/>
    <w:pPr>
      <w:widowControl/>
      <w:bidi w:val="0"/>
      <w:spacing w:lineRule="auto" w:line="264" w:before="0" w:after="0"/>
      <w:jc w:val="start"/>
    </w:pPr>
    <w:rPr>
      <w:rFonts w:ascii="Garamond" w:hAnsi="Garamond" w:eastAsia="Garamond" w:cs="Garamond"/>
      <w:color w:val="000000"/>
      <w:kern w:val="0"/>
      <w:sz w:val="56"/>
      <w:szCs w:val="56"/>
      <w:lang w:val="fr-FR" w:eastAsia="fr-FR" w:bidi="ar-SA"/>
    </w:rPr>
  </w:style>
  <w:style w:type="paragraph" w:styleId="lev1" w:customStyle="1">
    <w:name w:val="Élevé1"/>
    <w:qFormat/>
    <w:pPr>
      <w:widowControl/>
      <w:bidi w:val="0"/>
      <w:spacing w:lineRule="auto" w:line="264" w:before="0" w:after="0"/>
      <w:jc w:val="start"/>
    </w:pPr>
    <w:rPr>
      <w:rFonts w:ascii="Garamond" w:hAnsi="Garamond" w:eastAsia="Garamond" w:cs="Garamond"/>
      <w:b/>
      <w:bCs/>
      <w:color w:val="000000"/>
      <w:kern w:val="0"/>
      <w:sz w:val="21"/>
      <w:szCs w:val="21"/>
      <w:lang w:val="fr-FR" w:eastAsia="fr-FR" w:bidi="ar-SA"/>
    </w:rPr>
  </w:style>
  <w:style w:type="paragraph" w:styleId="ListParagraph">
    <w:name w:val="List Paragraph"/>
    <w:qFormat/>
    <w:pPr>
      <w:widowControl/>
      <w:bidi w:val="0"/>
      <w:spacing w:lineRule="auto" w:line="264" w:before="0" w:after="0"/>
      <w:jc w:val="start"/>
    </w:pPr>
    <w:rPr>
      <w:rFonts w:ascii="Garamond" w:hAnsi="Garamond" w:eastAsia="Garamond" w:cs="Garamond"/>
      <w:color w:val="000000"/>
      <w:kern w:val="0"/>
      <w:sz w:val="21"/>
      <w:szCs w:val="21"/>
      <w:lang w:val="fr-FR" w:eastAsia="fr-FR" w:bidi="ar-SA"/>
    </w:rPr>
  </w:style>
  <w:style w:type="paragraph" w:styleId="FootnoteText">
    <w:name w:val="footnote text"/>
    <w:link w:val="NotedebasdepageCar"/>
    <w:uiPriority w:val="99"/>
    <w:semiHidden/>
    <w:unhideWhenUsed/>
    <w:pPr>
      <w:widowControl/>
      <w:bidi w:val="0"/>
      <w:spacing w:lineRule="auto" w:line="240" w:before="0" w:after="0"/>
      <w:jc w:val="start"/>
    </w:pPr>
    <w:rPr>
      <w:rFonts w:ascii="Garamond" w:hAnsi="Garamond" w:eastAsia="Garamond" w:cs="Garamond"/>
      <w:color w:val="000000"/>
      <w:kern w:val="0"/>
      <w:sz w:val="20"/>
      <w:szCs w:val="20"/>
      <w:lang w:val="fr-FR" w:eastAsia="fr-FR" w:bidi="ar-SA"/>
    </w:rPr>
  </w:style>
  <w:style w:type="paragraph" w:styleId="EndnoteText">
    <w:name w:val="endnote text"/>
    <w:link w:val="NotedefinCar"/>
    <w:uiPriority w:val="99"/>
    <w:semiHidden/>
    <w:unhideWhenUsed/>
    <w:pPr>
      <w:widowControl/>
      <w:bidi w:val="0"/>
      <w:spacing w:lineRule="auto" w:line="240" w:before="0" w:after="0"/>
      <w:jc w:val="start"/>
    </w:pPr>
    <w:rPr>
      <w:rFonts w:ascii="Garamond" w:hAnsi="Garamond" w:eastAsia="Garamond" w:cs="Garamond"/>
      <w:color w:val="000000"/>
      <w:kern w:val="0"/>
      <w:sz w:val="20"/>
      <w:szCs w:val="20"/>
      <w:lang w:val="fr-FR" w:eastAsia="fr-FR" w:bidi="ar-SA"/>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475744"/>
    <w:pPr>
      <w:tabs>
        <w:tab w:val="clear" w:pos="708"/>
        <w:tab w:val="center" w:pos="4536" w:leader="none"/>
        <w:tab w:val="right" w:pos="9072" w:leader="none"/>
      </w:tabs>
      <w:spacing w:lineRule="auto" w:line="240"/>
    </w:pPr>
    <w:rPr/>
  </w:style>
  <w:style w:type="paragraph" w:styleId="Footer">
    <w:name w:val="footer"/>
    <w:basedOn w:val="Normal"/>
    <w:link w:val="PieddepageCar"/>
    <w:uiPriority w:val="99"/>
    <w:unhideWhenUsed/>
    <w:rsid w:val="00475744"/>
    <w:pPr>
      <w:tabs>
        <w:tab w:val="clear" w:pos="708"/>
        <w:tab w:val="center" w:pos="4536" w:leader="none"/>
        <w:tab w:val="right" w:pos="9072" w:leader="none"/>
      </w:tabs>
      <w:spacing w:lineRule="auto" w:line="240"/>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LibreOffice/26.2.5.2$Windows_X86_64 LibreOffice_project/cd7284b4cbbfeb507e630c1aac019f4157393acb</Application>
  <AppVersion>15.0000</AppVersion>
  <Pages>6</Pages>
  <Words>2506</Words>
  <Characters>14319</Characters>
  <CharactersWithSpaces>16748</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2026-09-07T13:44:00Z</dcterms:created>
  <dc:creator>Un-named</dc:creator>
  <dc:description/>
  <dc:language>fr-FR</dc:language>
  <cp:lastModifiedBy/>
  <dcterms:modified xsi:type="dcterms:W3CDTF">2026-09-24T12:00:54Z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