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140"/>
        <w:jc w:val="center"/>
        <w:rPr>
          <w:color w:val="000000"/>
        </w:rPr>
      </w:pPr>
      <w:r>
        <w:rPr>
          <w:b/>
          <w:bCs/>
          <w:color w:val="000000"/>
          <w:sz w:val="32"/>
          <w:szCs w:val="32"/>
        </w:rPr>
        <w:t>CONDITIONS GÉNÉRALES DE VENTE</w:t>
      </w:r>
    </w:p>
    <w:p>
      <w:pPr>
        <w:pStyle w:val="Normal"/>
        <w:spacing w:before="0" w:after="360"/>
        <w:jc w:val="center"/>
        <w:rPr>
          <w:color w:val="000000"/>
        </w:rPr>
      </w:pPr>
      <w:r>
        <w:rPr>
          <w:color w:val="000000"/>
          <w:sz w:val="22"/>
          <w:szCs w:val="22"/>
        </w:rPr>
        <w:t>Réservation et participation aux événements privés entre adultes consentants</w:t>
      </w:r>
    </w:p>
    <w:p>
      <w:pPr>
        <w:pStyle w:val="Normal"/>
        <w:pBdr>
          <w:bottom w:val="single" w:sz="6" w:space="1" w:color="000000"/>
        </w:pBdr>
        <w:spacing w:before="60" w:after="200"/>
        <w:rPr>
          <w:color w:val="000000"/>
        </w:rPr>
      </w:pPr>
      <w:r>
        <w:rPr>
          <w:color w:val="000000"/>
        </w:rPr>
      </w:r>
    </w:p>
    <w:p>
      <w:pPr>
        <w:pStyle w:val="Normal"/>
        <w:keepNext w:val="true"/>
        <w:spacing w:before="360" w:after="160"/>
        <w:rPr>
          <w:color w:val="000000"/>
        </w:rPr>
      </w:pPr>
      <w:r>
        <w:rPr>
          <w:b/>
          <w:bCs/>
          <w:color w:val="000000"/>
          <w:sz w:val="26"/>
          <w:szCs w:val="26"/>
        </w:rPr>
        <w:t>Préambule</w:t>
      </w:r>
    </w:p>
    <w:p>
      <w:pPr>
        <w:pStyle w:val="Normal"/>
        <w:spacing w:before="0" w:after="120"/>
        <w:jc w:val="both"/>
        <w:rPr>
          <w:color w:val="000000"/>
        </w:rPr>
      </w:pPr>
      <w:r>
        <w:rPr>
          <w:color w:val="000000"/>
        </w:rPr>
        <w:t>Les présentes conditions générales de vente (les « CGV ») régissent la réservation et la participation aux Événements organisés par (</w:t>
      </w:r>
      <w:r>
        <w:rPr>
          <w:color w:val="000000"/>
        </w:rPr>
        <w:t xml:space="preserve"> </w:t>
      </w:r>
      <w:r>
        <w:rPr>
          <w:color w:val="000000"/>
        </w:rPr>
        <w:t>ARTEMIS SARL</w:t>
      </w:r>
      <w:r>
        <w:rPr>
          <w:color w:val="000000"/>
        </w:rPr>
        <w:t xml:space="preserve">) (l’« Organisateur »), à l’exclusion de toute autre condition. </w:t>
      </w:r>
    </w:p>
    <w:p>
      <w:pPr>
        <w:pStyle w:val="Normal"/>
        <w:spacing w:before="0" w:after="120"/>
        <w:jc w:val="both"/>
        <w:rPr>
          <w:color w:val="000000"/>
        </w:rPr>
      </w:pPr>
      <w:r>
        <w:rPr>
          <w:color w:val="000000"/>
        </w:rPr>
        <w:t>Elles complètent les conditions générales d’utilisation et le Code de bonne conduite, qui en font partie intégrante.</w:t>
      </w:r>
    </w:p>
    <w:p>
      <w:pPr>
        <w:pStyle w:val="Normal"/>
        <w:spacing w:before="0" w:after="120"/>
        <w:jc w:val="both"/>
        <w:rPr>
          <w:color w:val="000000"/>
        </w:rPr>
      </w:pPr>
      <w:r>
        <w:rPr>
          <w:color w:val="000000"/>
        </w:rPr>
        <w:t>Elles sont applicables aux Participants agissant en qualité de consommateurs au sens de l’article liminaire du code de la consommation.</w:t>
      </w:r>
    </w:p>
    <w:p>
      <w:pPr>
        <w:pStyle w:val="Normal"/>
        <w:keepNext w:val="true"/>
        <w:spacing w:before="260" w:after="100"/>
        <w:rPr>
          <w:color w:val="000000"/>
        </w:rPr>
      </w:pPr>
      <w:r>
        <w:rPr>
          <w:b/>
          <w:bCs/>
          <w:color w:val="000000"/>
          <w:sz w:val="22"/>
          <w:szCs w:val="22"/>
        </w:rPr>
        <w:t>Article 1 — Définitions</w:t>
      </w:r>
    </w:p>
    <w:p>
      <w:pPr>
        <w:pStyle w:val="ListParagraph"/>
        <w:numPr>
          <w:ilvl w:val="0"/>
          <w:numId w:val="3"/>
        </w:numPr>
        <w:spacing w:before="0" w:after="80"/>
        <w:jc w:val="both"/>
        <w:rPr>
          <w:color w:val="000000"/>
        </w:rPr>
      </w:pPr>
      <w:r>
        <w:rPr>
          <w:b/>
          <w:bCs/>
          <w:color w:val="000000"/>
        </w:rPr>
        <w:t xml:space="preserve"> </w:t>
      </w:r>
      <w:r>
        <w:rPr>
          <w:b/>
          <w:bCs/>
          <w:color w:val="000000"/>
        </w:rPr>
        <w:t>Participant</w:t>
      </w:r>
      <w:r>
        <w:rPr>
          <w:color w:val="000000"/>
        </w:rPr>
        <w:t xml:space="preserve"> : Membre admis à un Événement déterminé, ayant acquitté la Contribution </w:t>
      </w:r>
    </w:p>
    <w:p>
      <w:pPr>
        <w:pStyle w:val="ListParagraph"/>
        <w:numPr>
          <w:ilvl w:val="0"/>
          <w:numId w:val="1"/>
        </w:numPr>
        <w:spacing w:before="0" w:after="80"/>
        <w:jc w:val="both"/>
        <w:rPr>
          <w:color w:val="000000"/>
        </w:rPr>
      </w:pPr>
      <w:r>
        <w:rPr>
          <w:b/>
          <w:bCs/>
          <w:color w:val="000000"/>
        </w:rPr>
        <w:t xml:space="preserve"> </w:t>
      </w:r>
      <w:r>
        <w:rPr>
          <w:b/>
          <w:bCs/>
          <w:color w:val="000000"/>
        </w:rPr>
        <w:t>Événement</w:t>
      </w:r>
      <w:r>
        <w:rPr>
          <w:color w:val="000000"/>
        </w:rPr>
        <w:t> : réunion privée à caractère sexuel, réservée aux Participants, organisée en un lieu privé, clos et à accès contrôlé, à une date et pour une durée déterminées.</w:t>
      </w:r>
    </w:p>
    <w:p>
      <w:pPr>
        <w:pStyle w:val="ListParagraph"/>
        <w:numPr>
          <w:ilvl w:val="0"/>
          <w:numId w:val="1"/>
        </w:numPr>
        <w:spacing w:before="0" w:after="80"/>
        <w:jc w:val="both"/>
        <w:rPr>
          <w:color w:val="000000"/>
        </w:rPr>
      </w:pPr>
      <w:r>
        <w:rPr>
          <w:b/>
          <w:bCs/>
          <w:color w:val="000000"/>
        </w:rPr>
        <w:t xml:space="preserve"> </w:t>
      </w:r>
      <w:r>
        <w:rPr>
          <w:b/>
          <w:bCs/>
          <w:color w:val="000000"/>
        </w:rPr>
        <w:t>Contribution</w:t>
      </w:r>
      <w:r>
        <w:rPr>
          <w:color w:val="000000"/>
        </w:rPr>
        <w:t> : somme forfaitaire, acquittée en contrepartie exclusive des Prestations.</w:t>
      </w:r>
    </w:p>
    <w:p>
      <w:pPr>
        <w:pStyle w:val="ListParagraph"/>
        <w:numPr>
          <w:ilvl w:val="0"/>
          <w:numId w:val="1"/>
        </w:numPr>
        <w:spacing w:before="0" w:after="80"/>
        <w:jc w:val="both"/>
        <w:rPr>
          <w:color w:val="000000"/>
        </w:rPr>
      </w:pPr>
      <w:r>
        <w:rPr>
          <w:b/>
          <w:bCs/>
          <w:color w:val="000000"/>
        </w:rPr>
        <w:t xml:space="preserve"> </w:t>
      </w:r>
      <w:r>
        <w:rPr>
          <w:b/>
          <w:bCs/>
          <w:color w:val="000000"/>
        </w:rPr>
        <w:t>Prestations</w:t>
      </w:r>
      <w:r>
        <w:rPr>
          <w:color w:val="000000"/>
        </w:rPr>
        <w:t> : ensemble des moyens matériels et humains mis en œuvre par l’Organisateur, tels que définis à l’article 3.</w:t>
      </w:r>
    </w:p>
    <w:p>
      <w:pPr>
        <w:pStyle w:val="ListParagraph"/>
        <w:numPr>
          <w:ilvl w:val="0"/>
          <w:numId w:val="1"/>
        </w:numPr>
        <w:spacing w:before="0" w:after="80"/>
        <w:jc w:val="both"/>
        <w:rPr>
          <w:color w:val="000000"/>
        </w:rPr>
      </w:pPr>
      <w:r>
        <w:rPr>
          <w:b/>
          <w:bCs/>
          <w:color w:val="000000"/>
        </w:rPr>
        <w:t xml:space="preserve"> </w:t>
      </w:r>
      <w:r>
        <w:rPr>
          <w:b/>
          <w:bCs/>
          <w:color w:val="000000"/>
        </w:rPr>
        <w:t>Référent consentement</w:t>
      </w:r>
      <w:r>
        <w:rPr>
          <w:color w:val="000000"/>
        </w:rPr>
        <w:t> : personne majeure désignée par l’Organisateur, non participante et sobre, chargée de veiller à l’application du Code de bonne conduite.</w:t>
      </w:r>
    </w:p>
    <w:p>
      <w:pPr>
        <w:pStyle w:val="Normal"/>
        <w:keepNext w:val="true"/>
        <w:spacing w:before="260" w:after="100"/>
        <w:rPr>
          <w:color w:val="000000"/>
        </w:rPr>
      </w:pPr>
      <w:r>
        <w:rPr>
          <w:b/>
          <w:bCs/>
          <w:color w:val="000000"/>
          <w:sz w:val="22"/>
          <w:szCs w:val="22"/>
        </w:rPr>
        <w:t>Article 2 — Objet et qualification juridique du contrat</w:t>
      </w:r>
    </w:p>
    <w:p>
      <w:pPr>
        <w:pStyle w:val="Normal"/>
        <w:spacing w:before="0" w:after="120"/>
        <w:jc w:val="both"/>
        <w:rPr>
          <w:color w:val="000000"/>
        </w:rPr>
      </w:pPr>
      <w:r>
        <w:rPr>
          <w:b/>
          <w:bCs/>
          <w:color w:val="000000"/>
        </w:rPr>
        <w:t>Clause de qualification.</w:t>
      </w:r>
      <w:r>
        <w:rPr>
          <w:color w:val="000000"/>
        </w:rPr>
        <w:t xml:space="preserve"> Le contrat conclu entre l’Organisateur et le Participant a pour objet </w:t>
      </w:r>
      <w:r>
        <w:rPr>
          <w:b/>
          <w:bCs/>
          <w:color w:val="000000"/>
        </w:rPr>
        <w:t>exclusif</w:t>
      </w:r>
      <w:r>
        <w:rPr>
          <w:color w:val="000000"/>
        </w:rPr>
        <w:t xml:space="preserve"> la mise à disposition d’un cadre matériel, logistique et organisationnel permettant à des adultes consentants de se réunir en privé. </w:t>
      </w:r>
    </w:p>
    <w:p>
      <w:pPr>
        <w:pStyle w:val="Normal"/>
        <w:spacing w:before="0" w:after="120"/>
        <w:jc w:val="both"/>
        <w:rPr>
          <w:color w:val="000000"/>
        </w:rPr>
      </w:pPr>
      <w:r>
        <w:rPr>
          <w:color w:val="000000"/>
        </w:rPr>
        <w:t xml:space="preserve">Il n’a pour objet ni pour cause aucun acte sexuel. </w:t>
      </w:r>
    </w:p>
    <w:p>
      <w:pPr>
        <w:pStyle w:val="Normal"/>
        <w:spacing w:before="0" w:after="120"/>
        <w:jc w:val="both"/>
        <w:rPr>
          <w:color w:val="000000"/>
        </w:rPr>
      </w:pPr>
      <w:r>
        <w:rPr>
          <w:color w:val="000000"/>
        </w:rPr>
        <w:t>La Contribution n’est en aucun cas la contrepartie d’un acte sexuel, d’une prestation sexuelle, de la présence d’une personne déterminée ou d’un quelconque résultat.</w:t>
      </w:r>
    </w:p>
    <w:p>
      <w:pPr>
        <w:pStyle w:val="Normal"/>
        <w:spacing w:before="0" w:after="120"/>
        <w:jc w:val="both"/>
        <w:rPr>
          <w:color w:val="000000"/>
        </w:rPr>
      </w:pPr>
      <w:r>
        <w:rPr>
          <w:b/>
          <w:bCs/>
          <w:color w:val="000000"/>
        </w:rPr>
        <w:t>Absence de toute obligation de faire.</w:t>
      </w:r>
      <w:r>
        <w:rPr>
          <w:color w:val="000000"/>
        </w:rPr>
        <w:t xml:space="preserve"> Le présent contrat ne met à la charge d’aucun Participant l’obligation d’accomplir, de subir ou de tolérer un quelconque acte de nature sexuelle. </w:t>
      </w:r>
    </w:p>
    <w:p>
      <w:pPr>
        <w:pStyle w:val="Normal"/>
        <w:spacing w:before="0" w:after="120"/>
        <w:jc w:val="both"/>
        <w:rPr>
          <w:color w:val="000000"/>
        </w:rPr>
      </w:pPr>
      <w:r>
        <w:rPr>
          <w:color w:val="000000"/>
        </w:rPr>
        <w:t xml:space="preserve">Aucun engagement pris antérieurement à l’Événement, y compris lors des échanges préparatoires, ne peut être invoqué pour contraindre un Participant à un acte. </w:t>
      </w:r>
    </w:p>
    <w:p>
      <w:pPr>
        <w:pStyle w:val="Normal"/>
        <w:spacing w:before="0" w:after="120"/>
        <w:jc w:val="both"/>
        <w:rPr>
          <w:color w:val="000000"/>
        </w:rPr>
      </w:pPr>
      <w:r>
        <w:rPr>
          <w:color w:val="000000"/>
        </w:rPr>
        <w:t>Toute stipulation contraire serait réputée non écrite comme contraire à l’ordre public au sens des articles 6 et 1162 du code civil.</w:t>
      </w:r>
    </w:p>
    <w:p>
      <w:pPr>
        <w:pStyle w:val="Normal"/>
        <w:spacing w:before="0" w:after="120"/>
        <w:jc w:val="both"/>
        <w:rPr>
          <w:color w:val="000000"/>
        </w:rPr>
      </w:pPr>
      <w:r>
        <w:rPr>
          <w:color w:val="000000"/>
        </w:rPr>
        <w:t xml:space="preserve">L’Organisateur ne vend aucune prestation sexuelle, n’en organise aucune, n’en rétribue aucune et n’en retire aucun profit. </w:t>
      </w:r>
    </w:p>
    <w:p>
      <w:pPr>
        <w:pStyle w:val="Normal"/>
        <w:spacing w:before="0" w:after="120"/>
        <w:jc w:val="both"/>
        <w:rPr>
          <w:color w:val="000000"/>
        </w:rPr>
      </w:pPr>
      <w:r>
        <w:rPr>
          <w:color w:val="000000"/>
        </w:rPr>
        <w:t>Les Participants agissent librement, gratuitement, spontanément et pour leur propre compte.</w:t>
      </w:r>
    </w:p>
    <w:p>
      <w:pPr>
        <w:pStyle w:val="Normal"/>
        <w:keepNext w:val="true"/>
        <w:spacing w:before="260" w:after="100"/>
        <w:rPr>
          <w:color w:val="000000"/>
        </w:rPr>
      </w:pPr>
      <w:r>
        <w:rPr>
          <w:b/>
          <w:bCs/>
          <w:color w:val="000000"/>
          <w:sz w:val="22"/>
          <w:szCs w:val="22"/>
        </w:rPr>
        <w:t>Article 3 — Contenu des Prestations</w:t>
      </w:r>
    </w:p>
    <w:p>
      <w:pPr>
        <w:pStyle w:val="Normal"/>
        <w:spacing w:before="0" w:after="120"/>
        <w:jc w:val="both"/>
        <w:rPr>
          <w:color w:val="000000"/>
        </w:rPr>
      </w:pPr>
      <w:r>
        <w:rPr>
          <w:color w:val="000000"/>
        </w:rPr>
        <w:t>La Contribution rémunère exclusivement les prestations suivantes, objectivement identifiables et sans lien avec un quelconque acte :</w:t>
      </w:r>
    </w:p>
    <w:p>
      <w:pPr>
        <w:pStyle w:val="ListParagraph"/>
        <w:numPr>
          <w:ilvl w:val="0"/>
          <w:numId w:val="1"/>
        </w:numPr>
        <w:spacing w:before="0" w:after="80"/>
        <w:jc w:val="both"/>
        <w:rPr>
          <w:color w:val="000000"/>
        </w:rPr>
      </w:pPr>
      <w:r>
        <w:rPr>
          <w:color w:val="000000"/>
        </w:rPr>
        <w:t xml:space="preserve"> </w:t>
      </w:r>
      <w:r>
        <w:rPr>
          <w:color w:val="000000"/>
        </w:rPr>
        <w:t>La mise à disposition temporaire et exclusive d’un lieu privé, clos, chauffé, éclairé et non accessible aux regards du public ;</w:t>
      </w:r>
    </w:p>
    <w:p>
      <w:pPr>
        <w:pStyle w:val="ListParagraph"/>
        <w:numPr>
          <w:ilvl w:val="0"/>
          <w:numId w:val="1"/>
        </w:numPr>
        <w:spacing w:before="0" w:after="80"/>
        <w:jc w:val="both"/>
        <w:rPr>
          <w:color w:val="000000"/>
        </w:rPr>
      </w:pPr>
      <w:r>
        <w:rPr>
          <w:color w:val="000000"/>
        </w:rPr>
        <w:t xml:space="preserve"> </w:t>
      </w:r>
      <w:r>
        <w:rPr>
          <w:color w:val="000000"/>
        </w:rPr>
        <w:t>La préparation, l’entretien, le nettoyage et la désinfection des locaux avant et après l’Événement ;</w:t>
      </w:r>
    </w:p>
    <w:p>
      <w:pPr>
        <w:pStyle w:val="ListParagraph"/>
        <w:numPr>
          <w:ilvl w:val="0"/>
          <w:numId w:val="1"/>
        </w:numPr>
        <w:spacing w:before="0" w:after="80"/>
        <w:jc w:val="both"/>
        <w:rPr>
          <w:color w:val="000000"/>
        </w:rPr>
      </w:pPr>
      <w:r>
        <w:rPr>
          <w:color w:val="000000"/>
        </w:rPr>
        <w:t xml:space="preserve"> </w:t>
      </w:r>
      <w:r>
        <w:rPr>
          <w:color w:val="000000"/>
        </w:rPr>
        <w:t>La fourniture de linge propre, de produits d’hygiène, de préservatifs, de digues dentaires, de gants et de lubrifiant en quantité suffisante ;</w:t>
      </w:r>
    </w:p>
    <w:p>
      <w:pPr>
        <w:pStyle w:val="ListParagraph"/>
        <w:numPr>
          <w:ilvl w:val="0"/>
          <w:numId w:val="1"/>
        </w:numPr>
        <w:spacing w:before="0" w:after="80"/>
        <w:jc w:val="both"/>
        <w:rPr>
          <w:color w:val="000000"/>
        </w:rPr>
      </w:pPr>
      <w:r>
        <w:rPr>
          <w:color w:val="000000"/>
        </w:rPr>
        <w:t xml:space="preserve"> </w:t>
      </w:r>
      <w:r>
        <w:rPr>
          <w:color w:val="000000"/>
        </w:rPr>
        <w:t>La mise à disposition de sanitaires, de douches et d’un espace de retrait ;</w:t>
      </w:r>
    </w:p>
    <w:p>
      <w:pPr>
        <w:pStyle w:val="ListParagraph"/>
        <w:numPr>
          <w:ilvl w:val="0"/>
          <w:numId w:val="1"/>
        </w:numPr>
        <w:spacing w:before="0" w:after="80"/>
        <w:jc w:val="both"/>
        <w:rPr>
          <w:color w:val="000000"/>
        </w:rPr>
      </w:pPr>
      <w:r>
        <w:rPr>
          <w:color w:val="000000"/>
        </w:rPr>
        <w:t xml:space="preserve"> </w:t>
      </w:r>
      <w:r>
        <w:rPr>
          <w:color w:val="000000"/>
        </w:rPr>
        <w:t>Le contrôle des accès, la vérification de la majorité et la sécurité des personnes et des effets personnels ;</w:t>
      </w:r>
    </w:p>
    <w:p>
      <w:pPr>
        <w:pStyle w:val="ListParagraph"/>
        <w:numPr>
          <w:ilvl w:val="0"/>
          <w:numId w:val="1"/>
        </w:numPr>
        <w:spacing w:before="0" w:after="80"/>
        <w:jc w:val="both"/>
        <w:rPr>
          <w:color w:val="000000"/>
        </w:rPr>
      </w:pPr>
      <w:r>
        <w:rPr>
          <w:color w:val="000000"/>
        </w:rPr>
        <w:t xml:space="preserve"> </w:t>
      </w:r>
      <w:r>
        <w:rPr>
          <w:color w:val="000000"/>
        </w:rPr>
        <w:t>La présence, pendant toute la durée de l’Événement, du Référent consentement ;</w:t>
      </w:r>
    </w:p>
    <w:p>
      <w:pPr>
        <w:pStyle w:val="ListParagraph"/>
        <w:numPr>
          <w:ilvl w:val="0"/>
          <w:numId w:val="1"/>
        </w:numPr>
        <w:spacing w:before="0" w:after="80"/>
        <w:jc w:val="both"/>
        <w:rPr>
          <w:color w:val="000000"/>
        </w:rPr>
      </w:pPr>
      <w:r>
        <w:rPr>
          <w:color w:val="000000"/>
        </w:rPr>
        <w:t xml:space="preserve"> </w:t>
      </w:r>
      <w:r>
        <w:rPr>
          <w:color w:val="000000"/>
        </w:rPr>
        <w:t>L’animation du briefing d’ouverture et l’application du Code de bonne conduite ;</w:t>
      </w:r>
    </w:p>
    <w:p>
      <w:pPr>
        <w:pStyle w:val="ListParagraph"/>
        <w:numPr>
          <w:ilvl w:val="0"/>
          <w:numId w:val="1"/>
        </w:numPr>
        <w:spacing w:before="0" w:after="80"/>
        <w:jc w:val="both"/>
        <w:rPr>
          <w:color w:val="000000"/>
        </w:rPr>
      </w:pPr>
      <w:r>
        <w:rPr>
          <w:color w:val="000000"/>
        </w:rPr>
        <w:t xml:space="preserve"> </w:t>
      </w:r>
      <w:r>
        <w:rPr>
          <w:color w:val="000000"/>
        </w:rPr>
        <w:t xml:space="preserve">Le cas échéant, la mise à disposition de boissons non alcoolisées et de collations ; </w:t>
      </w:r>
    </w:p>
    <w:p>
      <w:pPr>
        <w:pStyle w:val="ListParagraph"/>
        <w:numPr>
          <w:ilvl w:val="0"/>
          <w:numId w:val="1"/>
        </w:numPr>
        <w:spacing w:before="0" w:after="80"/>
        <w:jc w:val="both"/>
        <w:rPr>
          <w:color w:val="000000"/>
        </w:rPr>
      </w:pPr>
      <w:r>
        <w:rPr>
          <w:color w:val="000000"/>
        </w:rPr>
        <w:t xml:space="preserve"> </w:t>
      </w:r>
      <w:r>
        <w:rPr>
          <w:color w:val="000000"/>
        </w:rPr>
        <w:t xml:space="preserve">Le travail de sélection des participants. </w:t>
      </w:r>
    </w:p>
    <w:p>
      <w:pPr>
        <w:pStyle w:val="Normal"/>
        <w:spacing w:before="0" w:after="120"/>
        <w:jc w:val="both"/>
        <w:rPr>
          <w:color w:val="000000"/>
        </w:rPr>
      </w:pPr>
      <w:r>
        <w:rPr>
          <w:color w:val="000000"/>
        </w:rPr>
        <w:t xml:space="preserve">L’Organisateur est tenu, au titre des Prestations, d’une </w:t>
      </w:r>
      <w:r>
        <w:rPr>
          <w:b/>
          <w:bCs/>
          <w:color w:val="000000"/>
        </w:rPr>
        <w:t>obligation de moyens</w:t>
      </w:r>
      <w:r>
        <w:rPr>
          <w:color w:val="000000"/>
        </w:rPr>
        <w:t xml:space="preserve">, à l’exception de la vérification de la majorité, du contrôle des accès et de la présence du Référent consentement, qui constituent des </w:t>
      </w:r>
      <w:r>
        <w:rPr>
          <w:b/>
          <w:bCs/>
          <w:color w:val="000000"/>
        </w:rPr>
        <w:t>obligations de résultat</w:t>
      </w:r>
      <w:r>
        <w:rPr>
          <w:color w:val="000000"/>
        </w:rPr>
        <w:t>.</w:t>
      </w:r>
    </w:p>
    <w:p>
      <w:pPr>
        <w:pStyle w:val="Normal"/>
        <w:keepNext w:val="true"/>
        <w:spacing w:before="260" w:after="100"/>
        <w:rPr>
          <w:color w:val="000000"/>
        </w:rPr>
      </w:pPr>
      <w:r>
        <w:rPr>
          <w:b/>
          <w:bCs/>
          <w:color w:val="000000"/>
          <w:sz w:val="22"/>
          <w:szCs w:val="22"/>
        </w:rPr>
        <w:t>Article 4 — Conditions de participation</w:t>
      </w:r>
    </w:p>
    <w:p>
      <w:pPr>
        <w:pStyle w:val="Normal"/>
        <w:spacing w:before="0" w:after="120"/>
        <w:jc w:val="both"/>
        <w:rPr>
          <w:color w:val="000000"/>
        </w:rPr>
      </w:pPr>
      <w:r>
        <w:rPr>
          <w:color w:val="000000"/>
        </w:rPr>
        <w:t>La participation est subordonnée à la réunion cumulative des conditions suivantes, vérifiées à l’entrée :</w:t>
      </w:r>
    </w:p>
    <w:p>
      <w:pPr>
        <w:pStyle w:val="ListParagraph"/>
        <w:numPr>
          <w:ilvl w:val="0"/>
          <w:numId w:val="1"/>
        </w:numPr>
        <w:spacing w:before="0" w:after="80"/>
        <w:jc w:val="both"/>
        <w:rPr>
          <w:color w:val="000000"/>
        </w:rPr>
      </w:pPr>
      <w:r>
        <w:rPr>
          <w:color w:val="000000"/>
        </w:rPr>
        <w:t xml:space="preserve"> </w:t>
      </w:r>
      <w:r>
        <w:rPr>
          <w:color w:val="000000"/>
        </w:rPr>
        <w:t xml:space="preserve">Être majeur et justifier de son identité par la présentation d’un billet valide, l’Organisateur procédant à un </w:t>
      </w:r>
      <w:r>
        <w:rPr>
          <w:b/>
          <w:bCs/>
          <w:color w:val="000000"/>
        </w:rPr>
        <w:t>contrôle visuel sans conservation ni reproduction</w:t>
      </w:r>
      <w:r>
        <w:rPr>
          <w:color w:val="000000"/>
        </w:rPr>
        <w:t> ;</w:t>
      </w:r>
    </w:p>
    <w:p>
      <w:pPr>
        <w:pStyle w:val="ListParagraph"/>
        <w:numPr>
          <w:ilvl w:val="0"/>
          <w:numId w:val="1"/>
        </w:numPr>
        <w:spacing w:before="0" w:after="80"/>
        <w:jc w:val="both"/>
        <w:rPr>
          <w:color w:val="000000"/>
        </w:rPr>
      </w:pPr>
      <w:r>
        <w:rPr>
          <w:color w:val="000000"/>
        </w:rPr>
        <w:t xml:space="preserve"> </w:t>
      </w:r>
      <w:r>
        <w:rPr>
          <w:color w:val="000000"/>
        </w:rPr>
        <w:t>Avoir acquitté l’intégralité de la Contribution ;</w:t>
      </w:r>
    </w:p>
    <w:p>
      <w:pPr>
        <w:pStyle w:val="ListParagraph"/>
        <w:numPr>
          <w:ilvl w:val="0"/>
          <w:numId w:val="1"/>
        </w:numPr>
        <w:spacing w:before="0" w:after="80"/>
        <w:jc w:val="both"/>
        <w:rPr>
          <w:color w:val="000000"/>
        </w:rPr>
      </w:pPr>
      <w:r>
        <w:rPr>
          <w:color w:val="000000"/>
        </w:rPr>
        <w:t xml:space="preserve"> </w:t>
      </w:r>
      <w:r>
        <w:rPr>
          <w:color w:val="000000"/>
        </w:rPr>
        <w:t>Ne présenter aucun signe d’ébriété, d’imprégnation par un produit stupéfiant ou d’altération manifeste du discernement ;</w:t>
      </w:r>
    </w:p>
    <w:p>
      <w:pPr>
        <w:pStyle w:val="ListParagraph"/>
        <w:numPr>
          <w:ilvl w:val="0"/>
          <w:numId w:val="1"/>
        </w:numPr>
        <w:spacing w:before="0" w:after="80"/>
        <w:jc w:val="both"/>
        <w:rPr>
          <w:color w:val="000000"/>
        </w:rPr>
      </w:pPr>
      <w:r>
        <w:rPr>
          <w:color w:val="000000"/>
        </w:rPr>
        <w:t xml:space="preserve"> </w:t>
      </w:r>
      <w:r>
        <w:rPr>
          <w:color w:val="000000"/>
        </w:rPr>
        <w:t>Accepter la consigne de tout appareil susceptible de capter des images ou des sons.</w:t>
      </w:r>
    </w:p>
    <w:p>
      <w:pPr>
        <w:pStyle w:val="Normal"/>
        <w:spacing w:before="0" w:after="120"/>
        <w:jc w:val="both"/>
        <w:rPr>
          <w:color w:val="000000"/>
        </w:rPr>
      </w:pPr>
      <w:r>
        <w:rPr>
          <w:color w:val="000000"/>
        </w:rPr>
        <w:t>Le défaut de l’une de ces conditions entraîne le refus d’accès, sans remboursement, sans indemnité et sans que l’Organisateur ait à motiver sa décision au-delà du constat objectif du manquement.</w:t>
      </w:r>
    </w:p>
    <w:p>
      <w:pPr>
        <w:pStyle w:val="Normal"/>
        <w:keepNext w:val="true"/>
        <w:spacing w:before="260" w:after="100"/>
        <w:rPr>
          <w:color w:val="000000"/>
        </w:rPr>
      </w:pPr>
      <w:r>
        <w:rPr>
          <w:b/>
          <w:bCs/>
          <w:color w:val="000000"/>
          <w:sz w:val="22"/>
          <w:szCs w:val="22"/>
        </w:rPr>
        <w:t>Article 5 — Réservation</w:t>
      </w:r>
    </w:p>
    <w:p>
      <w:pPr>
        <w:pStyle w:val="Normal"/>
        <w:spacing w:before="0" w:after="120"/>
        <w:jc w:val="both"/>
        <w:rPr>
          <w:color w:val="000000"/>
        </w:rPr>
      </w:pPr>
      <w:r>
        <w:rPr>
          <w:color w:val="000000"/>
        </w:rPr>
        <w:t xml:space="preserve">La réservation s’effectue exclusivement en contactant l’Organisateur. </w:t>
      </w:r>
    </w:p>
    <w:p>
      <w:pPr>
        <w:pStyle w:val="Normal"/>
        <w:spacing w:before="0" w:after="120"/>
        <w:jc w:val="both"/>
        <w:rPr>
          <w:color w:val="000000"/>
        </w:rPr>
      </w:pPr>
      <w:r>
        <w:rPr>
          <w:color w:val="000000"/>
        </w:rPr>
        <w:t xml:space="preserve">Le processus comporte la sélection de l’Événement, la vérification du récapitulatif, l’acceptation expresse des présentes CGV et du Code de bonne conduite, puis la validation du paiement. </w:t>
      </w:r>
    </w:p>
    <w:p>
      <w:pPr>
        <w:pStyle w:val="Normal"/>
        <w:spacing w:before="0" w:after="120"/>
        <w:jc w:val="both"/>
        <w:rPr>
          <w:color w:val="000000"/>
        </w:rPr>
      </w:pPr>
      <w:r>
        <w:rPr>
          <w:color w:val="000000"/>
        </w:rPr>
        <w:t>Conformément à l’article 1127-2 du code civil, le Membre a la faculté de vérifier le détail de sa réservation et d’en corriger les éventuelles erreurs avant confirmation.</w:t>
      </w:r>
    </w:p>
    <w:p>
      <w:pPr>
        <w:pStyle w:val="Normal"/>
        <w:spacing w:before="0" w:after="120"/>
        <w:jc w:val="both"/>
        <w:rPr>
          <w:color w:val="000000"/>
        </w:rPr>
      </w:pPr>
      <w:r>
        <w:rPr>
          <w:color w:val="000000"/>
        </w:rPr>
        <w:t xml:space="preserve">La réservation n’est ferme qu’après confirmation écrite adressée par l’Organisateur. </w:t>
      </w:r>
    </w:p>
    <w:p>
      <w:pPr>
        <w:pStyle w:val="Normal"/>
        <w:spacing w:before="0" w:after="120"/>
        <w:jc w:val="both"/>
        <w:rPr>
          <w:color w:val="000000"/>
        </w:rPr>
      </w:pPr>
      <w:r>
        <w:rPr>
          <w:color w:val="000000"/>
        </w:rPr>
        <w:t xml:space="preserve">Elle est </w:t>
      </w:r>
      <w:r>
        <w:rPr>
          <w:b/>
          <w:bCs/>
          <w:color w:val="000000"/>
        </w:rPr>
        <w:t>nominative et incessible</w:t>
      </w:r>
      <w:r>
        <w:rPr>
          <w:color w:val="000000"/>
        </w:rPr>
        <w:t> : la revente, la cession, l’échange ou le transfert d’une place, à titre gratuit ou onéreux, sont interdits et entraînent l’annulation de plein droit de la réservation, sans remboursement.</w:t>
      </w:r>
    </w:p>
    <w:p>
      <w:pPr>
        <w:pStyle w:val="Normal"/>
        <w:spacing w:before="0" w:after="120"/>
        <w:jc w:val="both"/>
        <w:rPr>
          <w:color w:val="000000"/>
        </w:rPr>
      </w:pPr>
      <w:r>
        <w:rPr>
          <w:color w:val="000000"/>
        </w:rPr>
        <w:t xml:space="preserve">Le nombre de places est limité et l’Organisateur peut clore les inscriptions à tout moment. </w:t>
      </w:r>
    </w:p>
    <w:p>
      <w:pPr>
        <w:pStyle w:val="Normal"/>
        <w:spacing w:before="0" w:after="120"/>
        <w:jc w:val="both"/>
        <w:rPr>
          <w:color w:val="000000"/>
        </w:rPr>
      </w:pPr>
      <w:r>
        <w:rPr>
          <w:color w:val="000000"/>
        </w:rPr>
        <w:t>Il peut également, à raison de l’équilibre de l’Événement ou de la sécurité des personnes, refuser une réservation sans motivation, sous réserve du respect de l’article 225-1 du code pénal.</w:t>
      </w:r>
    </w:p>
    <w:p>
      <w:pPr>
        <w:pStyle w:val="Normal"/>
        <w:keepNext w:val="true"/>
        <w:spacing w:before="260" w:after="100"/>
        <w:rPr>
          <w:color w:val="000000"/>
        </w:rPr>
      </w:pPr>
      <w:r>
        <w:rPr>
          <w:b/>
          <w:bCs/>
          <w:color w:val="000000"/>
          <w:sz w:val="22"/>
          <w:szCs w:val="22"/>
        </w:rPr>
        <w:t>Article 6 — Contribution : principe du tarif différencié</w:t>
      </w:r>
    </w:p>
    <w:p>
      <w:pPr>
        <w:pStyle w:val="Normal"/>
        <w:spacing w:before="0" w:after="120"/>
        <w:jc w:val="both"/>
        <w:rPr>
          <w:color w:val="000000"/>
        </w:rPr>
      </w:pPr>
      <w:r>
        <w:rPr>
          <w:b/>
          <w:bCs/>
          <w:color w:val="000000"/>
        </w:rPr>
        <w:t>Tarif différencié.</w:t>
      </w:r>
      <w:r>
        <w:rPr>
          <w:color w:val="000000"/>
        </w:rPr>
        <w:t xml:space="preserve"> La Contribution est d’un montant différent pour tous les Participants à un même Événement. </w:t>
      </w:r>
    </w:p>
    <w:p>
      <w:pPr>
        <w:pStyle w:val="Normal"/>
        <w:spacing w:before="0" w:after="120"/>
        <w:jc w:val="both"/>
        <w:rPr>
          <w:color w:val="000000"/>
        </w:rPr>
      </w:pPr>
      <w:r>
        <w:rPr>
          <w:color w:val="000000"/>
        </w:rPr>
        <w:t xml:space="preserve">Elle varie selon le sexe et le nombre de Participants selon ces distinctions : </w:t>
      </w:r>
    </w:p>
    <w:p>
      <w:pPr>
        <w:pStyle w:val="ListParagraph"/>
        <w:numPr>
          <w:ilvl w:val="0"/>
          <w:numId w:val="1"/>
        </w:numPr>
        <w:spacing w:before="0" w:after="80"/>
        <w:jc w:val="both"/>
        <w:rPr>
          <w:color w:val="000000"/>
        </w:rPr>
      </w:pPr>
      <w:r>
        <w:rPr>
          <w:color w:val="000000"/>
        </w:rPr>
        <w:t xml:space="preserve"> </w:t>
      </w:r>
      <w:r>
        <w:rPr>
          <w:color w:val="000000"/>
        </w:rPr>
        <w:t>Homme seul ;</w:t>
      </w:r>
    </w:p>
    <w:p>
      <w:pPr>
        <w:pStyle w:val="ListParagraph"/>
        <w:numPr>
          <w:ilvl w:val="0"/>
          <w:numId w:val="1"/>
        </w:numPr>
        <w:spacing w:before="0" w:after="80"/>
        <w:jc w:val="both"/>
        <w:rPr>
          <w:color w:val="000000"/>
        </w:rPr>
      </w:pPr>
      <w:r>
        <w:rPr>
          <w:color w:val="000000"/>
        </w:rPr>
        <w:t xml:space="preserve"> </w:t>
      </w:r>
      <w:r>
        <w:rPr>
          <w:color w:val="000000"/>
        </w:rPr>
        <w:t xml:space="preserve">Femme seule ; </w:t>
      </w:r>
    </w:p>
    <w:p>
      <w:pPr>
        <w:pStyle w:val="ListParagraph"/>
        <w:numPr>
          <w:ilvl w:val="0"/>
          <w:numId w:val="1"/>
        </w:numPr>
        <w:spacing w:before="0" w:after="80"/>
        <w:jc w:val="both"/>
        <w:rPr>
          <w:color w:val="000000"/>
        </w:rPr>
      </w:pPr>
      <w:r>
        <w:rPr>
          <w:color w:val="000000"/>
        </w:rPr>
        <w:t xml:space="preserve"> </w:t>
      </w:r>
      <w:r>
        <w:rPr>
          <w:color w:val="000000"/>
        </w:rPr>
        <w:t xml:space="preserve">Couple. </w:t>
      </w:r>
    </w:p>
    <w:p>
      <w:pPr>
        <w:pStyle w:val="Normal"/>
        <w:spacing w:before="0" w:after="120"/>
        <w:jc w:val="both"/>
        <w:rPr>
          <w:color w:val="000000"/>
        </w:rPr>
      </w:pPr>
      <w:r>
        <w:rPr>
          <w:color w:val="000000"/>
        </w:rPr>
      </w:r>
    </w:p>
    <w:p>
      <w:pPr>
        <w:pStyle w:val="Normal"/>
        <w:spacing w:before="0" w:after="120"/>
        <w:jc w:val="both"/>
        <w:rPr>
          <w:color w:val="000000"/>
        </w:rPr>
      </w:pPr>
      <w:r>
        <w:rPr>
          <w:color w:val="000000"/>
        </w:rPr>
        <w:t xml:space="preserve">Toutefois, la Contribution ne varie en aucun cas selon l’orientation sexuelle, le rôle, l’ancienneté, la notoriété, l’apparence ou la nature de la participation envisagée. </w:t>
      </w:r>
    </w:p>
    <w:p>
      <w:pPr>
        <w:pStyle w:val="Normal"/>
        <w:spacing w:before="0" w:after="120"/>
        <w:jc w:val="both"/>
        <w:rPr>
          <w:color w:val="000000"/>
        </w:rPr>
      </w:pPr>
      <w:r>
        <w:rPr>
          <w:color w:val="000000"/>
        </w:rPr>
        <w:t>Aucune gratuité, aucune réduction, aucune invitation, aucune place offerte, aucun code promotionnel individuel et aucun parrainage rémunéré ne peuvent être consentis à quelque Participant que ce soit.</w:t>
      </w:r>
    </w:p>
    <w:p>
      <w:pPr>
        <w:pStyle w:val="Normal"/>
        <w:spacing w:before="0" w:after="120"/>
        <w:jc w:val="both"/>
        <w:rPr>
          <w:color w:val="000000"/>
        </w:rPr>
      </w:pPr>
      <w:r>
        <w:rPr>
          <w:color w:val="000000"/>
        </w:rPr>
        <w:t xml:space="preserve">Le montant de la Contribution est indiqué en euros, toutes taxes comprises, sur la page de l’Événement. </w:t>
      </w:r>
    </w:p>
    <w:p>
      <w:pPr>
        <w:pStyle w:val="Normal"/>
        <w:spacing w:before="0" w:after="120"/>
        <w:jc w:val="both"/>
        <w:rPr>
          <w:color w:val="000000"/>
        </w:rPr>
      </w:pPr>
      <w:r>
        <w:rPr>
          <w:color w:val="000000"/>
        </w:rPr>
        <w:t xml:space="preserve">Il est établi par référence aux coûts de mise en œuvre des Prestations. </w:t>
      </w:r>
    </w:p>
    <w:p>
      <w:pPr>
        <w:pStyle w:val="Normal"/>
        <w:spacing w:before="0" w:after="120"/>
        <w:jc w:val="both"/>
        <w:rPr>
          <w:color w:val="000000"/>
        </w:rPr>
      </w:pPr>
      <w:r>
        <w:rPr>
          <w:color w:val="000000"/>
        </w:rPr>
        <w:t>L’Organisateur tient à disposition, en cas de contrôle, le détail des postes de charge correspondants.</w:t>
      </w:r>
    </w:p>
    <w:p>
      <w:pPr>
        <w:pStyle w:val="Normal"/>
        <w:spacing w:before="0" w:after="120"/>
        <w:jc w:val="both"/>
        <w:rPr>
          <w:color w:val="000000"/>
        </w:rPr>
      </w:pPr>
      <w:r>
        <w:rPr>
          <w:color w:val="000000"/>
        </w:rPr>
        <w:t>Aucun supplément, aucune option payante, aucun accès privilégié et aucun service additionnel tarifé ne sont proposés au sein d’un Événement.</w:t>
      </w:r>
    </w:p>
    <w:p>
      <w:pPr>
        <w:pStyle w:val="Normal"/>
        <w:keepNext w:val="true"/>
        <w:spacing w:before="260" w:after="100"/>
        <w:rPr>
          <w:color w:val="000000"/>
        </w:rPr>
      </w:pPr>
      <w:r>
        <w:rPr>
          <w:b/>
          <w:bCs/>
          <w:color w:val="000000"/>
          <w:sz w:val="22"/>
          <w:szCs w:val="22"/>
        </w:rPr>
        <w:t>Article 7 — Paiement</w:t>
      </w:r>
    </w:p>
    <w:p>
      <w:pPr>
        <w:pStyle w:val="Normal"/>
        <w:spacing w:before="0" w:after="120"/>
        <w:jc w:val="both"/>
        <w:rPr>
          <w:color w:val="000000"/>
        </w:rPr>
      </w:pPr>
      <w:r>
        <w:rPr>
          <w:color w:val="000000"/>
        </w:rPr>
        <w:t xml:space="preserve">La Contribution est exigible à la réservation. </w:t>
      </w:r>
    </w:p>
    <w:p>
      <w:pPr>
        <w:pStyle w:val="Normal"/>
        <w:spacing w:before="0" w:after="120"/>
        <w:jc w:val="both"/>
        <w:rPr>
          <w:color w:val="000000"/>
        </w:rPr>
      </w:pPr>
      <w:r>
        <w:rPr>
          <w:color w:val="000000"/>
        </w:rPr>
        <w:t xml:space="preserve">Elle est acquittée exclusivement par voie électronique traçable, auprès de l’Organisateur et à son seul profit, à l’exclusion de tout paiement à un tiers. </w:t>
      </w:r>
    </w:p>
    <w:p>
      <w:pPr>
        <w:pStyle w:val="Normal"/>
        <w:spacing w:before="0" w:after="120"/>
        <w:jc w:val="both"/>
        <w:rPr>
          <w:color w:val="000000"/>
        </w:rPr>
      </w:pPr>
      <w:r>
        <w:rPr>
          <w:color w:val="000000"/>
        </w:rPr>
        <w:t xml:space="preserve">Le prestataire de paiement est Reservatoo SAS. </w:t>
      </w:r>
    </w:p>
    <w:p>
      <w:pPr>
        <w:pStyle w:val="Normal"/>
        <w:spacing w:before="0" w:after="120"/>
        <w:jc w:val="both"/>
        <w:rPr>
          <w:color w:val="000000"/>
        </w:rPr>
      </w:pPr>
      <w:r>
        <w:rPr>
          <w:color w:val="000000"/>
        </w:rPr>
        <w:t>Aucune donnée bancaire n’est conservée par l’Organisateur.</w:t>
      </w:r>
    </w:p>
    <w:p>
      <w:pPr>
        <w:pStyle w:val="Normal"/>
        <w:spacing w:before="0" w:after="120"/>
        <w:jc w:val="both"/>
        <w:rPr>
          <w:color w:val="000000"/>
        </w:rPr>
      </w:pPr>
      <w:r>
        <w:rPr>
          <w:color w:val="000000"/>
        </w:rPr>
        <w:t>Une facture ou un reçu est adressé au Participant par voie électronique.</w:t>
      </w:r>
    </w:p>
    <w:p>
      <w:pPr>
        <w:pStyle w:val="Normal"/>
        <w:keepNext w:val="true"/>
        <w:spacing w:before="260" w:after="100"/>
        <w:rPr>
          <w:color w:val="000000"/>
        </w:rPr>
      </w:pPr>
      <w:r>
        <w:rPr>
          <w:color w:val="000000"/>
        </w:rPr>
        <w:t>Le paiement en espèces sur le lieu de l’Événement ne sera accepté que sous réserve que le Participant ait préalablement fourni, par l’intermédiaire de Reservatoo, une empreinte bancaire valide et que celle-ci ait été dûment acceptée.</w:t>
      </w:r>
    </w:p>
    <w:p>
      <w:pPr>
        <w:pStyle w:val="Normal"/>
        <w:keepNext w:val="true"/>
        <w:spacing w:before="260" w:after="100"/>
        <w:rPr>
          <w:color w:val="000000"/>
        </w:rPr>
      </w:pPr>
      <w:r>
        <w:rPr>
          <w:b/>
          <w:bCs/>
          <w:color w:val="000000"/>
          <w:sz w:val="22"/>
          <w:szCs w:val="22"/>
        </w:rPr>
        <w:t>Article 8 — Interdiction absolue des flux financiers entre Participants</w:t>
      </w:r>
    </w:p>
    <w:p>
      <w:pPr>
        <w:pStyle w:val="Normal"/>
        <w:spacing w:before="0" w:after="120"/>
        <w:jc w:val="both"/>
        <w:rPr>
          <w:color w:val="000000"/>
        </w:rPr>
      </w:pPr>
      <w:r>
        <w:rPr>
          <w:b/>
          <w:bCs/>
          <w:color w:val="000000"/>
        </w:rPr>
        <w:t>Clause de tolérance zéro.</w:t>
      </w:r>
      <w:r>
        <w:rPr>
          <w:color w:val="000000"/>
        </w:rPr>
        <w:t xml:space="preserve"> Il est absolument interdit à tout Participant de remettre, promettre, offrir, solliciter, accepter ou recevoir, directement ou par personne interposée, avant, pendant ou après l’Événement : une somme d’argent, un cadeau, un défraiement, un pourboire, un bon, une carte prépayée, un actif numérique, une contribution à une cagnotte, un objet de valeur ou tout autre avantage, en lien avec sa participation ou celle d’un tiers.</w:t>
      </w:r>
    </w:p>
    <w:p>
      <w:pPr>
        <w:pStyle w:val="Normal"/>
        <w:spacing w:before="0" w:after="120"/>
        <w:jc w:val="both"/>
        <w:rPr>
          <w:color w:val="000000"/>
        </w:rPr>
      </w:pPr>
      <w:r>
        <w:rPr>
          <w:color w:val="000000"/>
        </w:rPr>
        <w:t>Tout manquement constaté ou sérieusement suspecté entraîne :</w:t>
      </w:r>
    </w:p>
    <w:p>
      <w:pPr>
        <w:pStyle w:val="ListParagraph"/>
        <w:numPr>
          <w:ilvl w:val="0"/>
          <w:numId w:val="1"/>
        </w:numPr>
        <w:spacing w:before="0" w:after="80"/>
        <w:jc w:val="both"/>
        <w:rPr>
          <w:color w:val="000000"/>
        </w:rPr>
      </w:pPr>
      <w:r>
        <w:rPr>
          <w:color w:val="000000"/>
        </w:rPr>
        <w:t xml:space="preserve"> </w:t>
      </w:r>
      <w:r>
        <w:rPr>
          <w:color w:val="000000"/>
        </w:rPr>
        <w:t>L’expulsion immédiate des personnes concernées, sans remboursement de la Contribution ;</w:t>
      </w:r>
    </w:p>
    <w:p>
      <w:pPr>
        <w:pStyle w:val="ListParagraph"/>
        <w:numPr>
          <w:ilvl w:val="0"/>
          <w:numId w:val="1"/>
        </w:numPr>
        <w:spacing w:before="0" w:after="80"/>
        <w:jc w:val="both"/>
        <w:rPr>
          <w:color w:val="000000"/>
        </w:rPr>
      </w:pPr>
      <w:r>
        <w:rPr>
          <w:color w:val="000000"/>
        </w:rPr>
        <w:t xml:space="preserve"> </w:t>
      </w:r>
      <w:r>
        <w:rPr>
          <w:color w:val="000000"/>
        </w:rPr>
        <w:t>La radiation définitive de la qualité de Membre ;</w:t>
      </w:r>
    </w:p>
    <w:p>
      <w:pPr>
        <w:pStyle w:val="ListParagraph"/>
        <w:numPr>
          <w:ilvl w:val="0"/>
          <w:numId w:val="1"/>
        </w:numPr>
        <w:spacing w:before="0" w:after="80"/>
        <w:jc w:val="both"/>
        <w:rPr>
          <w:color w:val="000000"/>
        </w:rPr>
      </w:pPr>
      <w:r>
        <w:rPr>
          <w:color w:val="000000"/>
        </w:rPr>
        <w:t xml:space="preserve"> </w:t>
      </w:r>
      <w:r>
        <w:rPr>
          <w:color w:val="000000"/>
        </w:rPr>
        <w:t>La consignation des faits au registre des incidents ;</w:t>
      </w:r>
    </w:p>
    <w:p>
      <w:pPr>
        <w:pStyle w:val="ListParagraph"/>
        <w:numPr>
          <w:ilvl w:val="0"/>
          <w:numId w:val="1"/>
        </w:numPr>
        <w:spacing w:before="0" w:after="80"/>
        <w:jc w:val="both"/>
        <w:rPr>
          <w:color w:val="000000"/>
        </w:rPr>
      </w:pPr>
      <w:r>
        <w:rPr>
          <w:color w:val="000000"/>
        </w:rPr>
        <w:t xml:space="preserve"> </w:t>
      </w:r>
      <w:r>
        <w:rPr>
          <w:color w:val="000000"/>
        </w:rPr>
        <w:t>Le cas échéant, un signalement aux autorités compétentes.</w:t>
      </w:r>
    </w:p>
    <w:p>
      <w:pPr>
        <w:pStyle w:val="Normal"/>
        <w:spacing w:before="0" w:after="120"/>
        <w:jc w:val="both"/>
        <w:rPr>
          <w:color w:val="000000"/>
        </w:rPr>
      </w:pPr>
      <w:r>
        <w:rPr>
          <w:color w:val="000000"/>
        </w:rPr>
        <w:t>L’Organisateur rappelle que de tels faits sont susceptibles de recevoir les qualifications prévues aux articles 225-5 et suivants, 225-10 et 611-1 du code pénal, et que sa propre responsabilité serait engagée s’il les tolérait.</w:t>
      </w:r>
    </w:p>
    <w:p>
      <w:pPr>
        <w:pStyle w:val="Normal"/>
        <w:spacing w:before="0" w:after="120"/>
        <w:jc w:val="both"/>
        <w:rPr>
          <w:color w:val="000000"/>
        </w:rPr>
      </w:pPr>
      <w:r>
        <w:rPr>
          <w:color w:val="000000"/>
        </w:rPr>
        <w:t>L’Organisateur met en œuvre, à cette fin, un contrôle actif : absence de toute caisse sur place, consigne des effets personnels de valeur, vigilance du Référent consentement et rappel systématique lors du briefing d’ouverture.</w:t>
      </w:r>
    </w:p>
    <w:p>
      <w:pPr>
        <w:pStyle w:val="Normal"/>
        <w:keepNext w:val="true"/>
        <w:spacing w:before="260" w:after="100"/>
        <w:rPr>
          <w:color w:val="000000"/>
        </w:rPr>
      </w:pPr>
      <w:r>
        <w:rPr>
          <w:b/>
          <w:bCs/>
          <w:color w:val="000000"/>
          <w:sz w:val="22"/>
          <w:szCs w:val="22"/>
        </w:rPr>
        <w:t>Article 9 — Droit de rétractation</w:t>
      </w:r>
    </w:p>
    <w:p>
      <w:pPr>
        <w:pStyle w:val="Normal"/>
        <w:spacing w:before="0" w:after="120"/>
        <w:jc w:val="both"/>
        <w:rPr>
          <w:color w:val="000000"/>
        </w:rPr>
      </w:pPr>
      <w:r>
        <w:rPr>
          <w:color w:val="000000"/>
        </w:rPr>
        <w:t xml:space="preserve">Conformément au 12° de l’article L. 221-28 du code de la consommation, </w:t>
      </w:r>
      <w:r>
        <w:rPr>
          <w:b/>
          <w:bCs/>
          <w:color w:val="000000"/>
        </w:rPr>
        <w:t>le droit de rétractation ne peut être exercé</w:t>
      </w:r>
      <w:r>
        <w:rPr>
          <w:color w:val="000000"/>
        </w:rPr>
        <w:t xml:space="preserve"> pour les prestations de services de loisirs qui doivent être fournies à une date ou à une période déterminée. </w:t>
      </w:r>
    </w:p>
    <w:p>
      <w:pPr>
        <w:pStyle w:val="Normal"/>
        <w:spacing w:before="0" w:after="120"/>
        <w:jc w:val="both"/>
        <w:rPr>
          <w:color w:val="000000"/>
        </w:rPr>
      </w:pPr>
      <w:r>
        <w:rPr>
          <w:color w:val="000000"/>
        </w:rPr>
        <w:t xml:space="preserve">Les Événements relevant de cette catégorie, le Participant est expressément informé, avant validation de sa réservation, qu’il ne bénéficie d’aucun droit de rétractation. </w:t>
      </w:r>
    </w:p>
    <w:p>
      <w:pPr>
        <w:pStyle w:val="Normal"/>
        <w:spacing w:before="0" w:after="120"/>
        <w:jc w:val="both"/>
        <w:rPr>
          <w:color w:val="000000"/>
        </w:rPr>
      </w:pPr>
      <w:r>
        <w:rPr>
          <w:color w:val="000000"/>
        </w:rPr>
        <w:t>Cette information est reprise par case à cocher distincte.</w:t>
      </w:r>
    </w:p>
    <w:p>
      <w:pPr>
        <w:pStyle w:val="Normal"/>
        <w:spacing w:before="0" w:after="120"/>
        <w:jc w:val="both"/>
        <w:rPr>
          <w:color w:val="000000"/>
        </w:rPr>
      </w:pPr>
      <w:r>
        <w:rPr>
          <w:color w:val="000000"/>
        </w:rPr>
        <w:t>Cette exclusion ne fait pas obstacle aux facultés d’annulation prévues à l’article 10, ni au droit du Participant de refuser tout acte et de quitter l’Événement à tout instant.</w:t>
      </w:r>
    </w:p>
    <w:p>
      <w:pPr>
        <w:pStyle w:val="Normal"/>
        <w:keepNext w:val="true"/>
        <w:spacing w:before="260" w:after="100"/>
        <w:rPr>
          <w:color w:val="000000"/>
        </w:rPr>
      </w:pPr>
      <w:r>
        <w:rPr>
          <w:b/>
          <w:bCs/>
          <w:color w:val="000000"/>
          <w:sz w:val="22"/>
          <w:szCs w:val="22"/>
        </w:rPr>
        <w:t>Article 10 — Annulation</w:t>
      </w:r>
    </w:p>
    <w:p>
      <w:pPr>
        <w:pStyle w:val="Normal"/>
        <w:keepNext w:val="true"/>
        <w:spacing w:before="180" w:after="80"/>
        <w:rPr>
          <w:color w:val="000000"/>
        </w:rPr>
      </w:pPr>
      <w:r>
        <w:rPr>
          <w:b/>
          <w:bCs/>
          <w:i/>
          <w:iCs/>
          <w:color w:val="000000"/>
        </w:rPr>
        <w:t>10.1 — Annulation par le Participant</w:t>
      </w:r>
    </w:p>
    <w:p>
      <w:pPr>
        <w:pStyle w:val="Normal"/>
        <w:spacing w:before="0" w:after="120"/>
        <w:jc w:val="both"/>
        <w:rPr>
          <w:color w:val="000000"/>
        </w:rPr>
      </w:pPr>
      <w:r>
        <w:rPr>
          <w:color w:val="000000"/>
        </w:rPr>
        <w:t>Le Participant peut annuler sa réservation dans les conditions suivantes, plus favorables que le droit commun :</w:t>
      </w:r>
    </w:p>
    <w:p>
      <w:pPr>
        <w:pStyle w:val="ListParagraph"/>
        <w:numPr>
          <w:ilvl w:val="0"/>
          <w:numId w:val="1"/>
        </w:numPr>
        <w:spacing w:before="0" w:after="80"/>
        <w:jc w:val="both"/>
        <w:rPr>
          <w:color w:val="000000"/>
        </w:rPr>
      </w:pPr>
      <w:r>
        <w:rPr>
          <w:color w:val="000000"/>
        </w:rPr>
        <w:t xml:space="preserve"> </w:t>
      </w:r>
      <w:r>
        <w:rPr>
          <w:color w:val="000000"/>
        </w:rPr>
        <w:t>Plus de sept jours avant l’Événement : remboursement intégral ;</w:t>
      </w:r>
    </w:p>
    <w:p>
      <w:pPr>
        <w:pStyle w:val="ListParagraph"/>
        <w:numPr>
          <w:ilvl w:val="0"/>
          <w:numId w:val="1"/>
        </w:numPr>
        <w:spacing w:before="0" w:after="80"/>
        <w:jc w:val="both"/>
        <w:rPr>
          <w:color w:val="000000"/>
        </w:rPr>
      </w:pPr>
      <w:r>
        <w:rPr>
          <w:color w:val="000000"/>
        </w:rPr>
        <w:t xml:space="preserve"> </w:t>
      </w:r>
      <w:r>
        <w:rPr>
          <w:color w:val="000000"/>
        </w:rPr>
        <w:t>Entre sept jours et quarante-huit heures : remboursement à hauteur de cinquante pour cent, le solde couvrant les frais engagés ;</w:t>
      </w:r>
    </w:p>
    <w:p>
      <w:pPr>
        <w:pStyle w:val="ListParagraph"/>
        <w:numPr>
          <w:ilvl w:val="0"/>
          <w:numId w:val="1"/>
        </w:numPr>
        <w:spacing w:before="0" w:after="80"/>
        <w:jc w:val="both"/>
        <w:rPr>
          <w:color w:val="000000"/>
        </w:rPr>
      </w:pPr>
      <w:r>
        <w:rPr>
          <w:color w:val="000000"/>
        </w:rPr>
        <w:t xml:space="preserve"> </w:t>
      </w:r>
      <w:r>
        <w:rPr>
          <w:color w:val="000000"/>
        </w:rPr>
        <w:t>Moins de quarante-huit heures avant l’Événement : aucun remboursement, sauf motif légitime justifié.</w:t>
      </w:r>
    </w:p>
    <w:p>
      <w:pPr>
        <w:pStyle w:val="Normal"/>
        <w:keepNext w:val="true"/>
        <w:spacing w:before="180" w:after="80"/>
        <w:rPr>
          <w:color w:val="000000"/>
        </w:rPr>
      </w:pPr>
      <w:r>
        <w:rPr>
          <w:b/>
          <w:bCs/>
          <w:i/>
          <w:iCs/>
          <w:color w:val="000000"/>
        </w:rPr>
        <w:t>10.2 — Annulation par l’Organisateur</w:t>
      </w:r>
    </w:p>
    <w:p>
      <w:pPr>
        <w:pStyle w:val="Normal"/>
        <w:spacing w:before="0" w:after="120"/>
        <w:jc w:val="both"/>
        <w:rPr>
          <w:color w:val="000000"/>
        </w:rPr>
      </w:pPr>
      <w:r>
        <w:rPr>
          <w:color w:val="000000"/>
        </w:rPr>
        <w:t xml:space="preserve">L’Organisateur peut annuler ou reporter un Événement, notamment en cas d’insuffisance du nombre de Participants, d’indisponibilité du lieu, de défaillance du dispositif de sécurité ou d’absence du Référent consentement. </w:t>
      </w:r>
    </w:p>
    <w:p>
      <w:pPr>
        <w:pStyle w:val="Normal"/>
        <w:spacing w:before="0" w:after="120"/>
        <w:jc w:val="both"/>
        <w:rPr>
          <w:color w:val="000000"/>
        </w:rPr>
      </w:pPr>
      <w:r>
        <w:rPr>
          <w:color w:val="000000"/>
        </w:rPr>
        <w:t>Le Participant est alors intégralement remboursé dans un délai de quatorze jours, à l’exclusion de toute autre indemnité.</w:t>
      </w:r>
    </w:p>
    <w:p>
      <w:pPr>
        <w:pStyle w:val="Normal"/>
        <w:keepNext w:val="true"/>
        <w:spacing w:before="180" w:after="80"/>
        <w:rPr>
          <w:color w:val="000000"/>
        </w:rPr>
      </w:pPr>
      <w:r>
        <w:rPr>
          <w:b/>
          <w:bCs/>
          <w:i/>
          <w:iCs/>
          <w:color w:val="000000"/>
        </w:rPr>
        <w:t>10.3 — Fait du prince et mesure de police</w:t>
      </w:r>
    </w:p>
    <w:p>
      <w:pPr>
        <w:pStyle w:val="Normal"/>
        <w:spacing w:before="0" w:after="120"/>
        <w:jc w:val="both"/>
        <w:rPr>
          <w:color w:val="000000"/>
        </w:rPr>
      </w:pPr>
      <w:r>
        <w:rPr>
          <w:color w:val="000000"/>
        </w:rPr>
        <w:t xml:space="preserve">L’Organisateur peut annuler un Événement sans indemnité, moyennant remboursement intégral de la Contribution, en cas de mesure de police administrative, d’arrêté municipal ou préfectoral, d’injonction judiciaire, ou de toute décision d’une autorité publique en faisant obstacle. </w:t>
      </w:r>
    </w:p>
    <w:p>
      <w:pPr>
        <w:pStyle w:val="Normal"/>
        <w:spacing w:before="0" w:after="120"/>
        <w:jc w:val="both"/>
        <w:rPr>
          <w:color w:val="000000"/>
        </w:rPr>
      </w:pPr>
      <w:r>
        <w:rPr>
          <w:color w:val="000000"/>
        </w:rPr>
        <w:t>Le Participant reconnaît avoir été informé que l’autorité de police dispose, en présence de circonstances locales particulières ou d’une atteinte à la dignité de la personne humaine, du pouvoir d’interdire une manifestation, dans les conditions dégagées par le Conseil d’État (</w:t>
      </w:r>
      <w:r>
        <w:rPr>
          <w:b/>
          <w:bCs/>
          <w:i/>
          <w:iCs/>
          <w:color w:val="000000"/>
        </w:rPr>
        <w:t>CE, sect., 18 décembre 1959, Société « Les films Lutétia », n°36385 ; CE, ass., 27 octobre 1995, Commune de Morsang-sur-Orge, n°136727</w:t>
      </w:r>
      <w:r>
        <w:rPr>
          <w:color w:val="000000"/>
        </w:rPr>
        <w:t>).</w:t>
      </w:r>
    </w:p>
    <w:p>
      <w:pPr>
        <w:pStyle w:val="Normal"/>
        <w:keepNext w:val="true"/>
        <w:spacing w:before="260" w:after="100"/>
        <w:rPr>
          <w:color w:val="000000"/>
        </w:rPr>
      </w:pPr>
      <w:r>
        <w:rPr>
          <w:b/>
          <w:bCs/>
          <w:color w:val="000000"/>
          <w:sz w:val="22"/>
          <w:szCs w:val="22"/>
        </w:rPr>
        <w:t>Article 11 — Obligations du Participant</w:t>
      </w:r>
    </w:p>
    <w:p>
      <w:pPr>
        <w:pStyle w:val="Normal"/>
        <w:spacing w:before="0" w:after="120"/>
        <w:jc w:val="both"/>
        <w:rPr>
          <w:color w:val="000000"/>
        </w:rPr>
      </w:pPr>
      <w:r>
        <w:rPr>
          <w:color w:val="000000"/>
        </w:rPr>
        <w:t>Le Participant s’engage, pendant toute la durée de l’Événement :</w:t>
      </w:r>
    </w:p>
    <w:p>
      <w:pPr>
        <w:pStyle w:val="ListParagraph"/>
        <w:numPr>
          <w:ilvl w:val="0"/>
          <w:numId w:val="1"/>
        </w:numPr>
        <w:spacing w:before="0" w:after="80"/>
        <w:jc w:val="both"/>
        <w:rPr>
          <w:color w:val="000000"/>
        </w:rPr>
      </w:pPr>
      <w:r>
        <w:rPr>
          <w:color w:val="000000"/>
        </w:rPr>
        <w:t xml:space="preserve"> </w:t>
      </w:r>
      <w:r>
        <w:rPr>
          <w:color w:val="000000"/>
        </w:rPr>
        <w:t>À respecter sans réserve le Code de bonne conduite, dont il reconnaît avoir pris connaissance ;</w:t>
      </w:r>
    </w:p>
    <w:p>
      <w:pPr>
        <w:pStyle w:val="ListParagraph"/>
        <w:numPr>
          <w:ilvl w:val="0"/>
          <w:numId w:val="1"/>
        </w:numPr>
        <w:spacing w:before="0" w:after="80"/>
        <w:jc w:val="both"/>
        <w:rPr>
          <w:color w:val="000000"/>
        </w:rPr>
      </w:pPr>
      <w:r>
        <w:rPr>
          <w:color w:val="000000"/>
        </w:rPr>
        <w:t xml:space="preserve"> </w:t>
      </w:r>
      <w:r>
        <w:rPr>
          <w:color w:val="000000"/>
        </w:rPr>
        <w:t>À s’assurer, de manière active, explicite et continue, du consentement de toute personne avec laquelle il interagit ;</w:t>
      </w:r>
    </w:p>
    <w:p>
      <w:pPr>
        <w:pStyle w:val="ListParagraph"/>
        <w:numPr>
          <w:ilvl w:val="0"/>
          <w:numId w:val="1"/>
        </w:numPr>
        <w:spacing w:before="0" w:after="80"/>
        <w:jc w:val="both"/>
        <w:rPr>
          <w:color w:val="000000"/>
        </w:rPr>
      </w:pPr>
      <w:r>
        <w:rPr>
          <w:color w:val="000000"/>
        </w:rPr>
        <w:t xml:space="preserve"> </w:t>
      </w:r>
      <w:r>
        <w:rPr>
          <w:color w:val="000000"/>
        </w:rPr>
        <w:t>À cesser immédiatement tout acte au premier signe de retrait du consentement, quelle qu’en soit la forme ;</w:t>
      </w:r>
    </w:p>
    <w:p>
      <w:pPr>
        <w:pStyle w:val="ListParagraph"/>
        <w:numPr>
          <w:ilvl w:val="0"/>
          <w:numId w:val="1"/>
        </w:numPr>
        <w:spacing w:before="0" w:after="80"/>
        <w:jc w:val="both"/>
        <w:rPr>
          <w:color w:val="000000"/>
        </w:rPr>
      </w:pPr>
      <w:r>
        <w:rPr>
          <w:color w:val="000000"/>
        </w:rPr>
        <w:t xml:space="preserve"> </w:t>
      </w:r>
      <w:r>
        <w:rPr>
          <w:color w:val="000000"/>
        </w:rPr>
        <w:t>À n’introduire ni produit stupéfiant, ni arme, ni objet dangereux, ni alcool non autorisé ;</w:t>
      </w:r>
    </w:p>
    <w:p>
      <w:pPr>
        <w:pStyle w:val="ListParagraph"/>
        <w:numPr>
          <w:ilvl w:val="0"/>
          <w:numId w:val="1"/>
        </w:numPr>
        <w:spacing w:before="0" w:after="80"/>
        <w:jc w:val="both"/>
        <w:rPr>
          <w:color w:val="000000"/>
        </w:rPr>
      </w:pPr>
      <w:r>
        <w:rPr>
          <w:color w:val="000000"/>
        </w:rPr>
        <w:t xml:space="preserve"> </w:t>
      </w:r>
      <w:r>
        <w:rPr>
          <w:color w:val="000000"/>
        </w:rPr>
        <w:t>À n’introduire ni utiliser aucun appareil de captation d’images ou de sons ;</w:t>
      </w:r>
    </w:p>
    <w:p>
      <w:pPr>
        <w:pStyle w:val="ListParagraph"/>
        <w:numPr>
          <w:ilvl w:val="0"/>
          <w:numId w:val="1"/>
        </w:numPr>
        <w:spacing w:before="0" w:after="80"/>
        <w:jc w:val="both"/>
        <w:rPr>
          <w:color w:val="000000"/>
        </w:rPr>
      </w:pPr>
      <w:r>
        <w:rPr>
          <w:color w:val="000000"/>
        </w:rPr>
        <w:t xml:space="preserve"> </w:t>
      </w:r>
      <w:r>
        <w:rPr>
          <w:color w:val="000000"/>
        </w:rPr>
        <w:t>À utiliser systématiquement les protections mises à disposition pour toute pratique le nécessitant, sauf accord exprès et préalable des Participants concernés ;</w:t>
      </w:r>
    </w:p>
    <w:p>
      <w:pPr>
        <w:pStyle w:val="ListParagraph"/>
        <w:numPr>
          <w:ilvl w:val="0"/>
          <w:numId w:val="1"/>
        </w:numPr>
        <w:spacing w:before="0" w:after="80"/>
        <w:jc w:val="both"/>
        <w:rPr>
          <w:color w:val="000000"/>
        </w:rPr>
      </w:pPr>
      <w:r>
        <w:rPr>
          <w:color w:val="000000"/>
        </w:rPr>
        <w:t xml:space="preserve"> </w:t>
      </w:r>
      <w:r>
        <w:rPr>
          <w:color w:val="000000"/>
        </w:rPr>
        <w:t>À respecter la confidentialité la plus stricte sur l’identité et la présence des autres Participants ;</w:t>
      </w:r>
    </w:p>
    <w:p>
      <w:pPr>
        <w:pStyle w:val="ListParagraph"/>
        <w:numPr>
          <w:ilvl w:val="0"/>
          <w:numId w:val="1"/>
        </w:numPr>
        <w:spacing w:before="0" w:after="80"/>
        <w:jc w:val="both"/>
        <w:rPr>
          <w:color w:val="000000"/>
        </w:rPr>
      </w:pPr>
      <w:r>
        <w:rPr>
          <w:color w:val="000000"/>
        </w:rPr>
        <w:t xml:space="preserve"> </w:t>
      </w:r>
      <w:r>
        <w:rPr>
          <w:color w:val="000000"/>
        </w:rPr>
        <w:t>À déférer sans délai aux instructions du Référent consentement et du personnel d’encadrement ;</w:t>
      </w:r>
    </w:p>
    <w:p>
      <w:pPr>
        <w:pStyle w:val="ListParagraph"/>
        <w:numPr>
          <w:ilvl w:val="0"/>
          <w:numId w:val="1"/>
        </w:numPr>
        <w:spacing w:before="0" w:after="80"/>
        <w:jc w:val="both"/>
        <w:rPr>
          <w:color w:val="000000"/>
        </w:rPr>
      </w:pPr>
      <w:r>
        <w:rPr>
          <w:color w:val="000000"/>
        </w:rPr>
        <w:t xml:space="preserve"> </w:t>
      </w:r>
      <w:r>
        <w:rPr>
          <w:color w:val="000000"/>
        </w:rPr>
        <w:t>À quitter les lieux à première demande en cas d’exclusion.</w:t>
      </w:r>
    </w:p>
    <w:p>
      <w:pPr>
        <w:pStyle w:val="Normal"/>
        <w:spacing w:before="0" w:after="120"/>
        <w:jc w:val="both"/>
        <w:rPr>
          <w:color w:val="000000"/>
        </w:rPr>
      </w:pPr>
      <w:r>
        <w:rPr>
          <w:color w:val="000000"/>
        </w:rPr>
        <w:t>Le Participant reconnaît que le non-respect de ces obligations est susceptible d’engager sa responsabilité civile et pénale personnelle, l’Organisateur se réservant le droit de se constituer partie civile.</w:t>
      </w:r>
    </w:p>
    <w:p>
      <w:pPr>
        <w:pStyle w:val="Normal"/>
        <w:keepNext w:val="true"/>
        <w:spacing w:before="260" w:after="100"/>
        <w:rPr>
          <w:color w:val="000000"/>
        </w:rPr>
      </w:pPr>
      <w:r>
        <w:rPr>
          <w:b/>
          <w:bCs/>
          <w:color w:val="000000"/>
          <w:sz w:val="22"/>
          <w:szCs w:val="22"/>
        </w:rPr>
        <w:t>Article 12 — Lieu de l’Événement</w:t>
      </w:r>
    </w:p>
    <w:p>
      <w:pPr>
        <w:pStyle w:val="Normal"/>
        <w:spacing w:before="0" w:after="120"/>
        <w:jc w:val="both"/>
        <w:rPr>
          <w:color w:val="000000"/>
        </w:rPr>
      </w:pPr>
      <w:r>
        <w:rPr>
          <w:color w:val="000000"/>
        </w:rPr>
        <w:t xml:space="preserve">Chaque Événement se tient dans un lieu </w:t>
      </w:r>
      <w:r>
        <w:rPr>
          <w:b/>
          <w:bCs/>
          <w:color w:val="000000"/>
        </w:rPr>
        <w:t>loué et réservé préalablement</w:t>
      </w:r>
      <w:r>
        <w:rPr>
          <w:color w:val="000000"/>
        </w:rPr>
        <w:t xml:space="preserve"> par l’Organisateur, mis à sa disposition à titre exclusif pour la durée de la manifestation, en vertu d’un contrat écrit conclu avec le titulaire des droits sur le local.</w:t>
      </w:r>
    </w:p>
    <w:p>
      <w:pPr>
        <w:pStyle w:val="Normal"/>
        <w:spacing w:before="0" w:after="120"/>
        <w:jc w:val="both"/>
        <w:rPr>
          <w:color w:val="000000"/>
        </w:rPr>
      </w:pPr>
      <w:r>
        <w:rPr>
          <w:color w:val="000000"/>
        </w:rPr>
        <w:t xml:space="preserve">L’Organisateur garantit que le lieu est </w:t>
      </w:r>
      <w:r>
        <w:rPr>
          <w:b/>
          <w:bCs/>
          <w:color w:val="000000"/>
        </w:rPr>
        <w:t>privé, clos, à accès contrôlé et non accessible aux regards du public</w:t>
      </w:r>
      <w:r>
        <w:rPr>
          <w:color w:val="000000"/>
        </w:rPr>
        <w:t xml:space="preserve"> : occultation complète des ouvertures, absence de vue depuis la voie publique et depuis les fonds voisins, sas d’entrée, gardiennage de l’accès et interdiction de tout accès de tiers pendant la durée de l’Événement. </w:t>
      </w:r>
    </w:p>
    <w:p>
      <w:pPr>
        <w:pStyle w:val="Normal"/>
        <w:spacing w:before="0" w:after="120"/>
        <w:jc w:val="both"/>
        <w:rPr>
          <w:color w:val="000000"/>
        </w:rPr>
      </w:pPr>
      <w:r>
        <w:rPr>
          <w:color w:val="000000"/>
        </w:rPr>
        <w:t>Cette vérification est effectuée physiquement avant chaque Événement.</w:t>
      </w:r>
    </w:p>
    <w:p>
      <w:pPr>
        <w:pStyle w:val="Normal"/>
        <w:spacing w:before="0" w:after="120"/>
        <w:jc w:val="both"/>
        <w:rPr>
          <w:color w:val="000000"/>
        </w:rPr>
      </w:pPr>
      <w:r>
        <w:rPr>
          <w:color w:val="000000"/>
        </w:rPr>
        <w:t xml:space="preserve">L’Organisateur exige du bailleur, préalablement à chaque mise à disposition, la communication des éléments relatifs à la sécurité du local : classement et catégorie au titre de la réglementation des établissements recevant du public, effectif maximal admissible, registre de sécurité à jour, conformité des dégagements et de l’éclairage de sécurité, attestation d’assurance. </w:t>
      </w:r>
    </w:p>
    <w:p>
      <w:pPr>
        <w:pStyle w:val="Normal"/>
        <w:spacing w:before="0" w:after="120"/>
        <w:jc w:val="both"/>
        <w:rPr>
          <w:color w:val="000000"/>
        </w:rPr>
      </w:pPr>
      <w:r>
        <w:rPr>
          <w:color w:val="000000"/>
        </w:rPr>
        <w:t>L’effectif annoncé n’excède en aucun cas la capacité autorisée.</w:t>
      </w:r>
    </w:p>
    <w:p>
      <w:pPr>
        <w:pStyle w:val="Normal"/>
        <w:spacing w:before="0" w:after="120"/>
        <w:jc w:val="both"/>
        <w:rPr>
          <w:color w:val="000000"/>
        </w:rPr>
      </w:pPr>
      <w:r>
        <w:rPr>
          <w:color w:val="000000"/>
        </w:rPr>
        <w:t>L’adresse exacte est communiquée aux seuls Participants confirmés, dans un délai n’excédant pas (</w:t>
      </w:r>
      <w:r>
        <w:rPr>
          <w:color w:val="000000"/>
        </w:rPr>
        <w:t>24</w:t>
      </w:r>
      <w:r>
        <w:rPr>
          <w:color w:val="000000"/>
        </w:rPr>
        <w:t xml:space="preserve">) heures avant l’Événement. </w:t>
      </w:r>
    </w:p>
    <w:p>
      <w:pPr>
        <w:pStyle w:val="Normal"/>
        <w:spacing w:before="0" w:after="120"/>
        <w:jc w:val="both"/>
        <w:rPr>
          <w:color w:val="000000"/>
        </w:rPr>
      </w:pPr>
      <w:r>
        <w:rPr>
          <w:color w:val="000000"/>
        </w:rPr>
        <w:t>Sa divulgation à un tiers constitue une faute grave entraînant l’exclusion définitive.</w:t>
      </w:r>
    </w:p>
    <w:p>
      <w:pPr>
        <w:pStyle w:val="Normal"/>
        <w:spacing w:before="0" w:after="120"/>
        <w:jc w:val="both"/>
        <w:rPr>
          <w:color w:val="000000"/>
        </w:rPr>
      </w:pPr>
      <w:r>
        <w:rPr>
          <w:color w:val="000000"/>
        </w:rPr>
        <w:t xml:space="preserve">Aucune activité ne se tient à l’extérieur du lieu. </w:t>
      </w:r>
    </w:p>
    <w:p>
      <w:pPr>
        <w:pStyle w:val="Normal"/>
        <w:spacing w:before="0" w:after="120"/>
        <w:jc w:val="both"/>
        <w:rPr>
          <w:color w:val="000000"/>
        </w:rPr>
      </w:pPr>
      <w:r>
        <w:rPr>
          <w:color w:val="000000"/>
        </w:rPr>
        <w:t>Les Participants s’engagent à observer la plus grande discrétion aux abords, notamment lors des arrivées et des départs échelonnés, afin d’éviter tout trouble de voisinage susceptible de justifier une mesure de police.</w:t>
      </w:r>
    </w:p>
    <w:p>
      <w:pPr>
        <w:pStyle w:val="Normal"/>
        <w:spacing w:before="0" w:after="120"/>
        <w:jc w:val="both"/>
        <w:rPr>
          <w:color w:val="000000"/>
        </w:rPr>
      </w:pPr>
      <w:r>
        <w:rPr>
          <w:color w:val="000000"/>
        </w:rPr>
        <w:t>Il est interdit de fumer et de vapoter à l’intérieur du lieu, conformément aux articles L. 3512-8 et R. 3512-2 du code de la santé publique.</w:t>
      </w:r>
    </w:p>
    <w:p>
      <w:pPr>
        <w:pStyle w:val="Normal"/>
        <w:keepNext w:val="true"/>
        <w:spacing w:before="260" w:after="100"/>
        <w:rPr>
          <w:color w:val="000000"/>
        </w:rPr>
      </w:pPr>
      <w:r>
        <w:rPr>
          <w:b/>
          <w:bCs/>
          <w:color w:val="000000"/>
          <w:sz w:val="22"/>
          <w:szCs w:val="22"/>
        </w:rPr>
        <w:t>Article 13 — Boissons alcooliques</w:t>
      </w:r>
    </w:p>
    <w:p>
      <w:pPr>
        <w:pStyle w:val="Normal"/>
        <w:spacing w:before="0" w:after="120"/>
        <w:jc w:val="both"/>
        <w:rPr>
          <w:color w:val="000000"/>
        </w:rPr>
      </w:pPr>
      <w:r>
        <w:rPr>
          <w:color w:val="000000"/>
        </w:rPr>
        <w:t>Des boissons alcooliques peuvent être mises à disposition dans les conditions strictes définies au présent article et à l’article 11 du Code de bonne conduite.</w:t>
      </w:r>
    </w:p>
    <w:p>
      <w:pPr>
        <w:pStyle w:val="Normal"/>
        <w:keepNext w:val="true"/>
        <w:spacing w:before="180" w:after="80"/>
        <w:rPr>
          <w:color w:val="000000"/>
        </w:rPr>
      </w:pPr>
      <w:r>
        <w:rPr>
          <w:b/>
          <w:bCs/>
          <w:i/>
          <w:iCs/>
          <w:color w:val="000000"/>
        </w:rPr>
        <w:t>13.1 — Titulaire du droit de servir</w:t>
      </w:r>
    </w:p>
    <w:p>
      <w:pPr>
        <w:pStyle w:val="Normal"/>
        <w:spacing w:before="0" w:after="120"/>
        <w:jc w:val="both"/>
        <w:rPr>
          <w:color w:val="000000"/>
        </w:rPr>
      </w:pPr>
      <w:r>
        <w:rPr>
          <w:color w:val="000000"/>
        </w:rPr>
        <w:t xml:space="preserve">Les boissons alcooliques sont servies, facturées et encaissées </w:t>
      </w:r>
      <w:r>
        <w:rPr>
          <w:b/>
          <w:bCs/>
          <w:color w:val="000000"/>
        </w:rPr>
        <w:t>exclusivement par l’exploitant du lieu, titulaire d’une licence de débit de boissons à consommer sur place en cours de validité</w:t>
      </w:r>
      <w:r>
        <w:rPr>
          <w:color w:val="000000"/>
        </w:rPr>
        <w:t xml:space="preserve">, avec son propre personnel et sous sa seule responsabilité. </w:t>
      </w:r>
    </w:p>
    <w:p>
      <w:pPr>
        <w:pStyle w:val="Normal"/>
        <w:spacing w:before="0" w:after="120"/>
        <w:jc w:val="both"/>
        <w:rPr>
          <w:color w:val="000000"/>
        </w:rPr>
      </w:pPr>
      <w:r>
        <w:rPr>
          <w:color w:val="000000"/>
        </w:rPr>
        <w:t>L’Organisateur n’a pas la qualité de débitant de boissons et ne perçoit aucune somme à ce titre.</w:t>
      </w:r>
    </w:p>
    <w:p>
      <w:pPr>
        <w:pStyle w:val="Normal"/>
        <w:spacing w:before="0" w:after="120"/>
        <w:jc w:val="both"/>
        <w:rPr>
          <w:color w:val="000000"/>
        </w:rPr>
      </w:pPr>
      <w:r>
        <w:rPr>
          <w:color w:val="000000"/>
        </w:rPr>
        <w:t xml:space="preserve">À défaut d’un lieu titulaire d’une telle licence, aucune boisson alcoolique n’est mise à disposition. </w:t>
      </w:r>
    </w:p>
    <w:p>
      <w:pPr>
        <w:pStyle w:val="Normal"/>
        <w:spacing w:before="0" w:after="120"/>
        <w:jc w:val="both"/>
        <w:rPr>
          <w:color w:val="000000"/>
        </w:rPr>
      </w:pPr>
      <w:r>
        <w:rPr>
          <w:color w:val="000000"/>
        </w:rPr>
        <w:t>Dans l’hypothèse où l’Organisateur viendrait à exploiter lui-même une licence, il justifierait préalablement du permis d’exploitation prévu à l’article L. 3332-1-1 du code de la santé publique et de la déclaration en mairie prévue à l’article L. 3332-3 du même code.</w:t>
      </w:r>
    </w:p>
    <w:p>
      <w:pPr>
        <w:pStyle w:val="Normal"/>
        <w:keepNext w:val="true"/>
        <w:spacing w:before="180" w:after="80"/>
        <w:rPr>
          <w:color w:val="000000"/>
        </w:rPr>
      </w:pPr>
      <w:r>
        <w:rPr>
          <w:b/>
          <w:bCs/>
          <w:i/>
          <w:iCs/>
          <w:color w:val="000000"/>
        </w:rPr>
        <w:t>13.2 — Interdiction de l’offre à volonté et facturation</w:t>
      </w:r>
    </w:p>
    <w:p>
      <w:pPr>
        <w:pStyle w:val="Normal"/>
        <w:spacing w:before="0" w:after="120"/>
        <w:jc w:val="both"/>
        <w:rPr>
          <w:color w:val="000000"/>
        </w:rPr>
      </w:pPr>
      <w:r>
        <w:rPr>
          <w:color w:val="000000"/>
        </w:rPr>
        <w:t xml:space="preserve">Conformément à l’article L. 3322-9 du code de la santé publique, </w:t>
      </w:r>
      <w:r>
        <w:rPr>
          <w:b/>
          <w:bCs/>
          <w:color w:val="000000"/>
        </w:rPr>
        <w:t>aucune offre d’alcool à volonté, gratuite ou forfaitaire, n’est proposée</w:t>
      </w:r>
      <w:r>
        <w:rPr>
          <w:color w:val="000000"/>
        </w:rPr>
        <w:t xml:space="preserve">. </w:t>
      </w:r>
    </w:p>
    <w:p>
      <w:pPr>
        <w:pStyle w:val="Normal"/>
        <w:spacing w:before="0" w:after="120"/>
        <w:jc w:val="both"/>
        <w:rPr>
          <w:color w:val="000000"/>
        </w:rPr>
      </w:pPr>
      <w:r>
        <w:rPr>
          <w:color w:val="000000"/>
        </w:rPr>
        <w:t>Aucune boisson alcoolique n’est incluse dans la Contribution : chaque consommation est facturée à l’unité, à un tarif affiché et identique pour tous.</w:t>
      </w:r>
    </w:p>
    <w:p>
      <w:pPr>
        <w:pStyle w:val="Normal"/>
        <w:spacing w:before="0" w:after="120"/>
        <w:jc w:val="both"/>
        <w:rPr>
          <w:color w:val="000000"/>
        </w:rPr>
      </w:pPr>
      <w:r>
        <w:rPr>
          <w:color w:val="000000"/>
        </w:rPr>
        <w:t>Un quota nominatif de (</w:t>
      </w:r>
      <w:r>
        <w:rPr>
          <w:color w:val="000000"/>
        </w:rPr>
        <w:t>deux</w:t>
      </w:r>
      <w:r>
        <w:rPr>
          <w:color w:val="000000"/>
        </w:rPr>
        <w:t xml:space="preserve">) consommations par Participant et par Événement est matérialisé par la remise de jetons à l’entrée. </w:t>
      </w:r>
    </w:p>
    <w:p>
      <w:pPr>
        <w:pStyle w:val="Normal"/>
        <w:spacing w:before="0" w:after="120"/>
        <w:jc w:val="both"/>
        <w:rPr>
          <w:color w:val="000000"/>
        </w:rPr>
      </w:pPr>
      <w:r>
        <w:rPr>
          <w:color w:val="000000"/>
        </w:rPr>
        <w:t xml:space="preserve">Aucun jeton supplémentaire n’est délivré, échangé ni cédé. </w:t>
      </w:r>
    </w:p>
    <w:p>
      <w:pPr>
        <w:pStyle w:val="Normal"/>
        <w:spacing w:before="0" w:after="120"/>
        <w:jc w:val="both"/>
        <w:rPr>
          <w:color w:val="000000"/>
        </w:rPr>
      </w:pPr>
      <w:r>
        <w:rPr>
          <w:color w:val="000000"/>
        </w:rPr>
        <w:t>Les spiritueux et boissons des quatrième et cinquième groupes ne sont pas proposés.</w:t>
      </w:r>
    </w:p>
    <w:p>
      <w:pPr>
        <w:pStyle w:val="Normal"/>
        <w:keepNext w:val="true"/>
        <w:spacing w:before="180" w:after="80"/>
        <w:rPr>
          <w:color w:val="000000"/>
        </w:rPr>
      </w:pPr>
      <w:r>
        <w:rPr>
          <w:b/>
          <w:bCs/>
          <w:i/>
          <w:iCs/>
          <w:color w:val="000000"/>
        </w:rPr>
        <w:t>13.3 — Interdiction de payer pour autrui</w:t>
      </w:r>
    </w:p>
    <w:p>
      <w:pPr>
        <w:pStyle w:val="Normal"/>
        <w:spacing w:before="0" w:after="120"/>
        <w:jc w:val="both"/>
        <w:rPr>
          <w:color w:val="000000"/>
        </w:rPr>
      </w:pPr>
      <w:r>
        <w:rPr>
          <w:b/>
          <w:bCs/>
          <w:color w:val="000000"/>
        </w:rPr>
        <w:t>Chaque Participant ne règle que ses propres consommations.</w:t>
      </w:r>
      <w:r>
        <w:rPr>
          <w:color w:val="000000"/>
        </w:rPr>
        <w:t xml:space="preserve"> </w:t>
      </w:r>
    </w:p>
    <w:p>
      <w:pPr>
        <w:pStyle w:val="Normal"/>
        <w:spacing w:before="0" w:after="120"/>
        <w:jc w:val="both"/>
        <w:rPr>
          <w:color w:val="000000"/>
        </w:rPr>
      </w:pPr>
      <w:r>
        <w:rPr>
          <w:color w:val="000000"/>
        </w:rPr>
        <w:t xml:space="preserve">Il est interdit d’offrir, de payer, de commander ou de faire porter au compte d’autrui une boisson, sous quelque forme que ce soit. </w:t>
      </w:r>
    </w:p>
    <w:p>
      <w:pPr>
        <w:pStyle w:val="Normal"/>
        <w:spacing w:before="0" w:after="120"/>
        <w:jc w:val="both"/>
        <w:rPr>
          <w:color w:val="000000"/>
        </w:rPr>
      </w:pPr>
      <w:r>
        <w:rPr>
          <w:color w:val="000000"/>
        </w:rPr>
        <w:t>Cette règle, qui déroge aux usages sociaux courants, découle directement de l’article 611-1 du code pénal, lequel vise la fourniture d’un avantage en nature.</w:t>
      </w:r>
    </w:p>
    <w:p>
      <w:pPr>
        <w:pStyle w:val="Normal"/>
        <w:keepNext w:val="true"/>
        <w:spacing w:before="180" w:after="80"/>
        <w:rPr>
          <w:color w:val="000000"/>
        </w:rPr>
      </w:pPr>
      <w:r>
        <w:rPr>
          <w:b/>
          <w:bCs/>
          <w:i/>
          <w:iCs/>
          <w:color w:val="000000"/>
        </w:rPr>
        <w:t>13.4 — Refus de service</w:t>
      </w:r>
    </w:p>
    <w:p>
      <w:pPr>
        <w:pStyle w:val="Normal"/>
        <w:spacing w:before="0" w:after="120"/>
        <w:jc w:val="both"/>
        <w:rPr>
          <w:color w:val="000000"/>
        </w:rPr>
      </w:pPr>
      <w:r>
        <w:rPr>
          <w:color w:val="000000"/>
        </w:rPr>
        <w:t xml:space="preserve">Le service est refusé à toute personne présentant des signes d’ébriété, conformément à l’article R. 3353-2 du code de la santé publique. </w:t>
      </w:r>
    </w:p>
    <w:p>
      <w:pPr>
        <w:pStyle w:val="Normal"/>
        <w:spacing w:before="0" w:after="120"/>
        <w:jc w:val="both"/>
        <w:rPr>
          <w:color w:val="000000"/>
        </w:rPr>
      </w:pPr>
      <w:r>
        <w:rPr>
          <w:color w:val="000000"/>
        </w:rPr>
        <w:t xml:space="preserve">Le service cesse au plus tard une heure avant l’heure de fin annoncée. </w:t>
      </w:r>
    </w:p>
    <w:p>
      <w:pPr>
        <w:pStyle w:val="Normal"/>
        <w:spacing w:before="0" w:after="120"/>
        <w:jc w:val="both"/>
        <w:rPr>
          <w:color w:val="000000"/>
        </w:rPr>
      </w:pPr>
      <w:r>
        <w:rPr>
          <w:color w:val="000000"/>
        </w:rPr>
        <w:t>De l’eau et des boissons sans alcool sont mises à disposition gratuitement et en permanence.</w:t>
      </w:r>
    </w:p>
    <w:p>
      <w:pPr>
        <w:pStyle w:val="Normal"/>
        <w:spacing w:before="0" w:after="120"/>
        <w:jc w:val="both"/>
        <w:rPr>
          <w:color w:val="000000"/>
        </w:rPr>
      </w:pPr>
      <w:r>
        <w:rPr>
          <w:color w:val="000000"/>
        </w:rPr>
        <w:t>Toute personne dont l’état paraît altéré est immédiatement écartée de toute interaction, placée sous la surveillance du Référent consentement dans l’espace de retrait, et le cas échéant reconduite.</w:t>
      </w:r>
    </w:p>
    <w:p>
      <w:pPr>
        <w:pStyle w:val="Normal"/>
        <w:spacing w:before="0" w:after="120"/>
        <w:jc w:val="both"/>
        <w:rPr>
          <w:color w:val="000000"/>
        </w:rPr>
      </w:pPr>
      <w:r>
        <w:rPr>
          <w:color w:val="000000"/>
        </w:rPr>
        <w:t>Le Participant reconnaît avoir été informé que l’altération du discernement fait obstacle à un consentement éclairé au sens de l’article 222-22 du code pénal et constitue une circonstance aggravante des infractions sexuelles.</w:t>
      </w:r>
    </w:p>
    <w:p>
      <w:pPr>
        <w:pStyle w:val="Normal"/>
        <w:keepNext w:val="true"/>
        <w:spacing w:before="260" w:after="100"/>
        <w:rPr>
          <w:color w:val="000000"/>
        </w:rPr>
      </w:pPr>
      <w:r>
        <w:rPr>
          <w:b/>
          <w:bCs/>
          <w:color w:val="000000"/>
          <w:sz w:val="22"/>
          <w:szCs w:val="22"/>
        </w:rPr>
        <w:t>Article 14 — Refus d’accès, expulsion et sanctions</w:t>
      </w:r>
    </w:p>
    <w:p>
      <w:pPr>
        <w:pStyle w:val="Normal"/>
        <w:spacing w:before="0" w:after="120"/>
        <w:jc w:val="both"/>
        <w:rPr>
          <w:color w:val="000000"/>
        </w:rPr>
      </w:pPr>
      <w:r>
        <w:rPr>
          <w:color w:val="000000"/>
        </w:rPr>
        <w:t>L’Organisateur peut refuser l’accès ou expulser sans délai, sans remboursement et sans indemnité, tout Participant :</w:t>
      </w:r>
    </w:p>
    <w:p>
      <w:pPr>
        <w:pStyle w:val="ListParagraph"/>
        <w:numPr>
          <w:ilvl w:val="0"/>
          <w:numId w:val="1"/>
        </w:numPr>
        <w:spacing w:before="0" w:after="80"/>
        <w:jc w:val="both"/>
        <w:rPr>
          <w:color w:val="000000"/>
        </w:rPr>
      </w:pPr>
      <w:r>
        <w:rPr>
          <w:color w:val="000000"/>
        </w:rPr>
        <w:t xml:space="preserve"> </w:t>
      </w:r>
      <w:r>
        <w:rPr>
          <w:color w:val="000000"/>
        </w:rPr>
        <w:t>Dont la majorité ne peut être établie ou paraît douteuse ;</w:t>
      </w:r>
    </w:p>
    <w:p>
      <w:pPr>
        <w:pStyle w:val="ListParagraph"/>
        <w:numPr>
          <w:ilvl w:val="0"/>
          <w:numId w:val="1"/>
        </w:numPr>
        <w:spacing w:before="0" w:after="80"/>
        <w:jc w:val="both"/>
        <w:rPr>
          <w:color w:val="000000"/>
        </w:rPr>
      </w:pPr>
      <w:r>
        <w:rPr>
          <w:color w:val="000000"/>
        </w:rPr>
        <w:t xml:space="preserve"> </w:t>
      </w:r>
      <w:r>
        <w:rPr>
          <w:color w:val="000000"/>
        </w:rPr>
        <w:t>En état d’ébriété, sous l’emprise de stupéfiants ou dont le discernement paraît altéré ;</w:t>
      </w:r>
    </w:p>
    <w:p>
      <w:pPr>
        <w:pStyle w:val="ListParagraph"/>
        <w:numPr>
          <w:ilvl w:val="0"/>
          <w:numId w:val="1"/>
        </w:numPr>
        <w:spacing w:before="0" w:after="80"/>
        <w:jc w:val="both"/>
        <w:rPr>
          <w:color w:val="000000"/>
        </w:rPr>
      </w:pPr>
      <w:r>
        <w:rPr>
          <w:color w:val="000000"/>
        </w:rPr>
        <w:t xml:space="preserve"> </w:t>
      </w:r>
      <w:r>
        <w:rPr>
          <w:color w:val="000000"/>
        </w:rPr>
        <w:t>Qui méconnaît le Code de bonne conduite, en particulier les dispositions relatives au consentement ;</w:t>
      </w:r>
    </w:p>
    <w:p>
      <w:pPr>
        <w:pStyle w:val="ListParagraph"/>
        <w:numPr>
          <w:ilvl w:val="0"/>
          <w:numId w:val="1"/>
        </w:numPr>
        <w:spacing w:before="0" w:after="80"/>
        <w:jc w:val="both"/>
        <w:rPr>
          <w:color w:val="000000"/>
        </w:rPr>
      </w:pPr>
      <w:r>
        <w:rPr>
          <w:color w:val="000000"/>
        </w:rPr>
        <w:t xml:space="preserve"> </w:t>
      </w:r>
      <w:r>
        <w:rPr>
          <w:color w:val="000000"/>
        </w:rPr>
        <w:t>Qui procède ou tente de procéder à une captation d’images ou de sons ;</w:t>
      </w:r>
    </w:p>
    <w:p>
      <w:pPr>
        <w:pStyle w:val="ListParagraph"/>
        <w:numPr>
          <w:ilvl w:val="0"/>
          <w:numId w:val="1"/>
        </w:numPr>
        <w:spacing w:before="0" w:after="80"/>
        <w:jc w:val="both"/>
        <w:rPr>
          <w:color w:val="000000"/>
        </w:rPr>
      </w:pPr>
      <w:r>
        <w:rPr>
          <w:color w:val="000000"/>
        </w:rPr>
        <w:t xml:space="preserve"> </w:t>
      </w:r>
      <w:r>
        <w:rPr>
          <w:color w:val="000000"/>
        </w:rPr>
        <w:t>Qui offre, sollicite ou accepte une contrepartie au sens de l’article 8 ;</w:t>
      </w:r>
    </w:p>
    <w:p>
      <w:pPr>
        <w:pStyle w:val="ListParagraph"/>
        <w:numPr>
          <w:ilvl w:val="0"/>
          <w:numId w:val="1"/>
        </w:numPr>
        <w:spacing w:before="0" w:after="80"/>
        <w:jc w:val="both"/>
        <w:rPr>
          <w:color w:val="000000"/>
        </w:rPr>
      </w:pPr>
      <w:r>
        <w:rPr>
          <w:color w:val="000000"/>
        </w:rPr>
        <w:t xml:space="preserve"> </w:t>
      </w:r>
      <w:r>
        <w:rPr>
          <w:color w:val="000000"/>
        </w:rPr>
        <w:t>Qui adopte un comportement violent, menaçant, insultant ou discriminatoire ;</w:t>
      </w:r>
    </w:p>
    <w:p>
      <w:pPr>
        <w:pStyle w:val="ListParagraph"/>
        <w:numPr>
          <w:ilvl w:val="0"/>
          <w:numId w:val="1"/>
        </w:numPr>
        <w:spacing w:before="0" w:after="80"/>
        <w:jc w:val="both"/>
        <w:rPr>
          <w:color w:val="000000"/>
        </w:rPr>
      </w:pPr>
      <w:r>
        <w:rPr>
          <w:color w:val="000000"/>
        </w:rPr>
        <w:t xml:space="preserve"> </w:t>
      </w:r>
      <w:r>
        <w:rPr>
          <w:color w:val="000000"/>
        </w:rPr>
        <w:t>Qui refuse de se conformer aux instructions du Référent consentement.</w:t>
      </w:r>
    </w:p>
    <w:p>
      <w:pPr>
        <w:pStyle w:val="Normal"/>
        <w:spacing w:before="0" w:after="120"/>
        <w:jc w:val="both"/>
        <w:rPr>
          <w:color w:val="000000"/>
        </w:rPr>
      </w:pPr>
      <w:r>
        <w:rPr>
          <w:color w:val="000000"/>
        </w:rPr>
        <w:t xml:space="preserve">L’expulsion est consignée par écrit au registre des incidents. </w:t>
      </w:r>
    </w:p>
    <w:p>
      <w:pPr>
        <w:pStyle w:val="Normal"/>
        <w:spacing w:before="0" w:after="120"/>
        <w:jc w:val="both"/>
        <w:rPr>
          <w:color w:val="000000"/>
        </w:rPr>
      </w:pPr>
      <w:r>
        <w:rPr>
          <w:color w:val="000000"/>
        </w:rPr>
        <w:t>Elle est sans préjudice des suites civiles et pénales.</w:t>
      </w:r>
    </w:p>
    <w:p>
      <w:pPr>
        <w:pStyle w:val="Normal"/>
        <w:keepNext w:val="true"/>
        <w:spacing w:before="260" w:after="100"/>
        <w:rPr>
          <w:color w:val="000000"/>
        </w:rPr>
      </w:pPr>
      <w:r>
        <w:rPr>
          <w:b/>
          <w:bCs/>
          <w:color w:val="000000"/>
          <w:sz w:val="22"/>
          <w:szCs w:val="22"/>
        </w:rPr>
        <w:t>Article 15 — Santé et responsabilité individuelle</w:t>
      </w:r>
    </w:p>
    <w:p>
      <w:pPr>
        <w:pStyle w:val="Normal"/>
        <w:spacing w:before="0" w:after="120"/>
        <w:jc w:val="both"/>
        <w:rPr>
          <w:color w:val="000000"/>
        </w:rPr>
      </w:pPr>
      <w:r>
        <w:rPr>
          <w:color w:val="000000"/>
        </w:rPr>
        <w:t xml:space="preserve">L’Organisateur met gratuitement à disposition des protections en quantité suffisante et rappelle leur usage lors du briefing d’ouverture. </w:t>
      </w:r>
    </w:p>
    <w:p>
      <w:pPr>
        <w:pStyle w:val="Normal"/>
        <w:spacing w:before="0" w:after="120"/>
        <w:jc w:val="both"/>
        <w:rPr>
          <w:color w:val="000000"/>
        </w:rPr>
      </w:pPr>
      <w:r>
        <w:rPr>
          <w:b/>
          <w:bCs/>
          <w:color w:val="000000"/>
        </w:rPr>
        <w:t>Il ne collecte, ne demande et ne conserve aucune information relative à l’état de santé ou au statut sérologique des Participants.</w:t>
      </w:r>
    </w:p>
    <w:p>
      <w:pPr>
        <w:pStyle w:val="Normal"/>
        <w:spacing w:before="0" w:after="120"/>
        <w:jc w:val="both"/>
        <w:rPr>
          <w:color w:val="000000"/>
        </w:rPr>
      </w:pPr>
      <w:r>
        <w:rPr>
          <w:color w:val="000000"/>
        </w:rPr>
        <w:t xml:space="preserve">Chaque Participant demeure seul responsable de la protection de sa santé et de celle de ses partenaires. </w:t>
      </w:r>
    </w:p>
    <w:p>
      <w:pPr>
        <w:pStyle w:val="Normal"/>
        <w:spacing w:before="0" w:after="120"/>
        <w:jc w:val="both"/>
        <w:rPr>
          <w:color w:val="000000"/>
        </w:rPr>
      </w:pPr>
      <w:r>
        <w:rPr>
          <w:color w:val="000000"/>
        </w:rPr>
        <w:t>Il est vivement recommandé de procéder à un dépistage régulier des infections sexuellement transmissibles auprès d’un professionnel de santé ou d’un centre gratuit d’information, de dépistage et de diagnostic.</w:t>
      </w:r>
    </w:p>
    <w:p>
      <w:pPr>
        <w:pStyle w:val="Normal"/>
        <w:spacing w:before="0" w:after="120"/>
        <w:jc w:val="both"/>
        <w:rPr>
          <w:color w:val="000000"/>
        </w:rPr>
      </w:pPr>
      <w:r>
        <w:rPr>
          <w:color w:val="000000"/>
        </w:rPr>
        <w:t xml:space="preserve">Le Participant qui aurait connaissance d’un risque de transmission s’abstient de toute pratique susceptible d’y exposer autrui. </w:t>
      </w:r>
    </w:p>
    <w:p>
      <w:pPr>
        <w:pStyle w:val="Normal"/>
        <w:spacing w:before="0" w:after="120"/>
        <w:jc w:val="both"/>
        <w:rPr>
          <w:color w:val="000000"/>
        </w:rPr>
      </w:pPr>
      <w:r>
        <w:rPr>
          <w:color w:val="000000"/>
        </w:rPr>
        <w:t>Il est rappelé que la transmission volontaire ou la dissimulation d’un tel risque est susceptible de recevoir une qualification pénale, notamment au titre de l’article 222-15 du code pénal.</w:t>
      </w:r>
    </w:p>
    <w:p>
      <w:pPr>
        <w:pStyle w:val="Normal"/>
        <w:keepNext w:val="true"/>
        <w:spacing w:before="260" w:after="100"/>
        <w:rPr>
          <w:color w:val="000000"/>
        </w:rPr>
      </w:pPr>
      <w:r>
        <w:rPr>
          <w:b/>
          <w:bCs/>
          <w:color w:val="000000"/>
          <w:sz w:val="22"/>
          <w:szCs w:val="22"/>
        </w:rPr>
        <w:t>Article 16 — Responsabilité de l’Organisateur</w:t>
      </w:r>
    </w:p>
    <w:p>
      <w:pPr>
        <w:pStyle w:val="Normal"/>
        <w:spacing w:before="0" w:after="120"/>
        <w:jc w:val="both"/>
        <w:rPr>
          <w:color w:val="000000"/>
        </w:rPr>
      </w:pPr>
      <w:r>
        <w:rPr>
          <w:color w:val="000000"/>
        </w:rPr>
        <w:t xml:space="preserve">L’Organisateur répond des manquements à ses propres obligations dans les conditions du droit commun. </w:t>
      </w:r>
    </w:p>
    <w:p>
      <w:pPr>
        <w:pStyle w:val="Normal"/>
        <w:spacing w:before="0" w:after="120"/>
        <w:jc w:val="both"/>
        <w:rPr>
          <w:color w:val="000000"/>
        </w:rPr>
      </w:pPr>
      <w:r>
        <w:rPr>
          <w:color w:val="000000"/>
        </w:rPr>
        <w:t>Il n’est pas responsable des faits commis par un Participant, ni des relations nouées entre Participants, ni des conséquences physiques, psychologiques ou sentimentales de la participation, hors le cas de sa faute propre.</w:t>
      </w:r>
    </w:p>
    <w:p>
      <w:pPr>
        <w:pStyle w:val="Normal"/>
        <w:spacing w:before="0" w:after="120"/>
        <w:jc w:val="both"/>
        <w:rPr>
          <w:color w:val="000000"/>
        </w:rPr>
      </w:pPr>
      <w:r>
        <w:rPr>
          <w:color w:val="000000"/>
        </w:rPr>
        <w:t>Sa responsabilité ne saurait être engagée en cas de vol, de perte ou de détérioration d’effets personnels non déposés à la consigne.</w:t>
      </w:r>
    </w:p>
    <w:p>
      <w:pPr>
        <w:pStyle w:val="Normal"/>
        <w:spacing w:before="0" w:after="120"/>
        <w:jc w:val="both"/>
        <w:rPr>
          <w:color w:val="000000"/>
        </w:rPr>
      </w:pPr>
      <w:r>
        <w:rPr>
          <w:color w:val="000000"/>
        </w:rPr>
        <w:t>Aucune limitation de responsabilité ne s’applique en cas de dol, de faute lourde ou d’atteinte à l’intégrité physique des personnes.</w:t>
      </w:r>
    </w:p>
    <w:p>
      <w:pPr>
        <w:pStyle w:val="Normal"/>
        <w:spacing w:before="0" w:after="120"/>
        <w:jc w:val="both"/>
        <w:rPr>
          <w:color w:val="000000"/>
        </w:rPr>
      </w:pPr>
      <w:r>
        <w:rPr>
          <w:color w:val="000000"/>
        </w:rPr>
        <w:t>L’Organisateur déclare avoir souscrit une assurance de responsabilité civile auprès de (</w:t>
      </w:r>
      <w:r>
        <w:rPr>
          <w:color w:val="000000"/>
        </w:rPr>
        <w:t>assureur</w:t>
      </w:r>
      <w:r>
        <w:rPr>
          <w:color w:val="000000"/>
        </w:rPr>
        <w:t>), police n°(</w:t>
      </w:r>
      <w:r>
        <w:rPr>
          <w:color w:val="000000"/>
        </w:rPr>
        <w:t>numéro</w:t>
      </w:r>
      <w:r>
        <w:rPr>
          <w:color w:val="000000"/>
        </w:rPr>
        <w:t>), couvrant les conséquences pécuniaires de sa responsabilité au titre de l’organisation des Événements.</w:t>
      </w:r>
    </w:p>
    <w:p>
      <w:pPr>
        <w:pStyle w:val="Normal"/>
        <w:keepNext w:val="true"/>
        <w:spacing w:before="260" w:after="100"/>
        <w:rPr>
          <w:color w:val="000000"/>
        </w:rPr>
      </w:pPr>
      <w:r>
        <w:rPr>
          <w:b/>
          <w:bCs/>
          <w:color w:val="000000"/>
          <w:sz w:val="22"/>
          <w:szCs w:val="22"/>
        </w:rPr>
        <w:t>Article 17 — Confidentialité</w:t>
      </w:r>
    </w:p>
    <w:p>
      <w:pPr>
        <w:pStyle w:val="Normal"/>
        <w:spacing w:before="0" w:after="120"/>
        <w:jc w:val="both"/>
        <w:rPr>
          <w:color w:val="000000"/>
        </w:rPr>
      </w:pPr>
      <w:r>
        <w:rPr>
          <w:color w:val="000000"/>
        </w:rPr>
        <w:t xml:space="preserve">Chaque Participant est tenu à une obligation de confidentialité absolue portant sur l’identité, la présence, l’apparence, les propos et les pratiques de toute autre personne rencontrée à l’occasion d’un Événement. </w:t>
      </w:r>
    </w:p>
    <w:p>
      <w:pPr>
        <w:pStyle w:val="Normal"/>
        <w:spacing w:before="0" w:after="120"/>
        <w:jc w:val="both"/>
        <w:rPr>
          <w:color w:val="000000"/>
        </w:rPr>
      </w:pPr>
      <w:r>
        <w:rPr>
          <w:color w:val="000000"/>
        </w:rPr>
        <w:t>Cette obligation subsiste sans limitation de durée après la fin de l’adhésion.</w:t>
      </w:r>
    </w:p>
    <w:p>
      <w:pPr>
        <w:pStyle w:val="Normal"/>
        <w:spacing w:before="0" w:after="120"/>
        <w:jc w:val="both"/>
        <w:rPr>
          <w:color w:val="000000"/>
        </w:rPr>
      </w:pPr>
      <w:r>
        <w:rPr>
          <w:color w:val="000000"/>
        </w:rPr>
        <w:t>Le manquement à cette obligation est susceptible d’engager la responsabilité de son auteur au titre de l’article 9 du code civil et, s’agissant de faits ou d’images à caractère sexuel, des articles 226-1, 226-2 et 226-2-1 du code pénal.</w:t>
      </w:r>
    </w:p>
    <w:p>
      <w:pPr>
        <w:pStyle w:val="Normal"/>
        <w:keepNext w:val="true"/>
        <w:spacing w:before="260" w:after="100"/>
        <w:rPr>
          <w:color w:val="000000"/>
        </w:rPr>
      </w:pPr>
      <w:r>
        <w:rPr>
          <w:b/>
          <w:bCs/>
          <w:color w:val="000000"/>
          <w:sz w:val="22"/>
          <w:szCs w:val="22"/>
        </w:rPr>
        <w:t>Article 18 — Données à caractère personnel</w:t>
      </w:r>
    </w:p>
    <w:p>
      <w:pPr>
        <w:pStyle w:val="Normal"/>
        <w:spacing w:before="0" w:after="120"/>
        <w:jc w:val="both"/>
        <w:rPr>
          <w:color w:val="000000"/>
        </w:rPr>
      </w:pPr>
      <w:r>
        <w:rPr>
          <w:color w:val="000000"/>
        </w:rPr>
        <w:t xml:space="preserve">Les données collectées à l’occasion de la réservation sont traitées dans les conditions décrites à l’article 11 des conditions générales d’utilisation, auxquelles il est expressément renvoyé. </w:t>
      </w:r>
    </w:p>
    <w:p>
      <w:pPr>
        <w:pStyle w:val="Normal"/>
        <w:spacing w:before="0" w:after="120"/>
        <w:jc w:val="both"/>
        <w:rPr>
          <w:color w:val="000000"/>
        </w:rPr>
      </w:pPr>
      <w:r>
        <w:rPr>
          <w:color w:val="000000"/>
        </w:rPr>
        <w:t>La liste des Participants n’est ni publiée, ni communiquée, ni conservée au-delà de (</w:t>
      </w:r>
      <w:r>
        <w:rPr>
          <w:color w:val="000000"/>
        </w:rPr>
        <w:t>30</w:t>
      </w:r>
      <w:r>
        <w:rPr>
          <w:color w:val="000000"/>
        </w:rPr>
        <w:t>) jours suivant l’Événement, à l’exception des mentions strictement nécessaires à la tenue du registre des incidents.</w:t>
      </w:r>
    </w:p>
    <w:p>
      <w:pPr>
        <w:pStyle w:val="Normal"/>
        <w:keepNext w:val="true"/>
        <w:spacing w:before="260" w:after="100"/>
        <w:rPr>
          <w:color w:val="000000"/>
        </w:rPr>
      </w:pPr>
      <w:r>
        <w:rPr>
          <w:b/>
          <w:bCs/>
          <w:color w:val="000000"/>
          <w:sz w:val="22"/>
          <w:szCs w:val="22"/>
        </w:rPr>
        <w:t>Article 19 — Force majeure</w:t>
      </w:r>
    </w:p>
    <w:p>
      <w:pPr>
        <w:pStyle w:val="Normal"/>
        <w:spacing w:before="0" w:after="120"/>
        <w:jc w:val="both"/>
        <w:rPr>
          <w:color w:val="000000"/>
        </w:rPr>
      </w:pPr>
      <w:r>
        <w:rPr>
          <w:color w:val="000000"/>
        </w:rPr>
        <w:t xml:space="preserve">Aucune partie n’est responsable de l’inexécution de ses obligations en cas de force majeure au sens de l’article 1218 du code civil. </w:t>
      </w:r>
    </w:p>
    <w:p>
      <w:pPr>
        <w:pStyle w:val="Normal"/>
        <w:spacing w:before="0" w:after="120"/>
        <w:jc w:val="both"/>
        <w:rPr>
          <w:color w:val="000000"/>
        </w:rPr>
      </w:pPr>
      <w:r>
        <w:rPr>
          <w:color w:val="000000"/>
        </w:rPr>
        <w:t>L’Organisateur restitue alors intégralement les Contributions perçues, à l’exclusion de toute indemnité.</w:t>
      </w:r>
    </w:p>
    <w:p>
      <w:pPr>
        <w:pStyle w:val="Normal"/>
        <w:keepNext w:val="true"/>
        <w:spacing w:before="260" w:after="100"/>
        <w:rPr>
          <w:color w:val="000000"/>
        </w:rPr>
      </w:pPr>
      <w:r>
        <w:rPr>
          <w:b/>
          <w:bCs/>
          <w:color w:val="000000"/>
          <w:sz w:val="22"/>
          <w:szCs w:val="22"/>
        </w:rPr>
        <w:t>Article 20 — Dispositions diverses</w:t>
      </w:r>
    </w:p>
    <w:p>
      <w:pPr>
        <w:pStyle w:val="Normal"/>
        <w:spacing w:before="0" w:after="120"/>
        <w:jc w:val="both"/>
        <w:rPr>
          <w:color w:val="000000"/>
        </w:rPr>
      </w:pPr>
      <w:r>
        <w:rPr>
          <w:color w:val="000000"/>
        </w:rPr>
        <w:t xml:space="preserve">Si une stipulation des présentes était déclarée nulle, illicite ou inapplicable, elle serait réputée non écrite sans affecter la validité des autres stipulations. </w:t>
      </w:r>
    </w:p>
    <w:p>
      <w:pPr>
        <w:pStyle w:val="Normal"/>
        <w:spacing w:before="0" w:after="120"/>
        <w:jc w:val="both"/>
        <w:rPr>
          <w:color w:val="000000"/>
        </w:rPr>
      </w:pPr>
      <w:r>
        <w:rPr>
          <w:color w:val="000000"/>
        </w:rPr>
        <w:t>Les parties s’efforceraient de lui substituer une stipulation valide d’effet économique équivalent, sous réserve du respect de l’ordre public.</w:t>
      </w:r>
    </w:p>
    <w:p>
      <w:pPr>
        <w:pStyle w:val="Normal"/>
        <w:spacing w:before="0" w:after="120"/>
        <w:jc w:val="both"/>
        <w:rPr>
          <w:color w:val="000000"/>
        </w:rPr>
      </w:pPr>
      <w:r>
        <w:rPr>
          <w:color w:val="000000"/>
        </w:rPr>
        <w:t>L’Organisateur peut modifier les présentes CGV ; les conditions applicables à une réservation sont celles en vigueur au jour de celle-ci.</w:t>
      </w:r>
    </w:p>
    <w:p>
      <w:pPr>
        <w:pStyle w:val="Normal"/>
        <w:keepNext w:val="true"/>
        <w:spacing w:before="260" w:after="100"/>
        <w:rPr>
          <w:color w:val="000000"/>
        </w:rPr>
      </w:pPr>
      <w:r>
        <w:rPr>
          <w:b/>
          <w:bCs/>
          <w:color w:val="000000"/>
          <w:sz w:val="22"/>
          <w:szCs w:val="22"/>
        </w:rPr>
        <w:t>Article 21 — Réclamations, médiation et juridiction</w:t>
      </w:r>
    </w:p>
    <w:p>
      <w:pPr>
        <w:pStyle w:val="Normal"/>
        <w:spacing w:before="0" w:after="120"/>
        <w:jc w:val="both"/>
        <w:rPr>
          <w:color w:val="000000"/>
        </w:rPr>
      </w:pPr>
      <w:r>
        <w:rPr>
          <w:color w:val="000000"/>
        </w:rPr>
        <w:t xml:space="preserve">Toute réclamation est adressée par écrit à </w:t>
      </w:r>
      <w:r>
        <w:rPr>
          <w:color w:val="000000"/>
        </w:rPr>
        <w:t>ghfrance@gmail.com</w:t>
      </w:r>
      <w:r>
        <w:rPr>
          <w:color w:val="000000"/>
        </w:rPr>
        <w:t xml:space="preserve">. </w:t>
      </w:r>
    </w:p>
    <w:p>
      <w:pPr>
        <w:pStyle w:val="Normal"/>
        <w:spacing w:before="0" w:after="120"/>
        <w:jc w:val="both"/>
        <w:rPr>
          <w:color w:val="000000"/>
        </w:rPr>
      </w:pPr>
      <w:r>
        <w:rPr>
          <w:color w:val="000000"/>
        </w:rPr>
        <w:t>L’Organisateur y répond dans un délai d’un mois.</w:t>
      </w:r>
    </w:p>
    <w:p>
      <w:pPr>
        <w:pStyle w:val="Normal"/>
        <w:spacing w:before="0" w:after="120"/>
        <w:jc w:val="both"/>
        <w:rPr/>
      </w:pPr>
      <w:r>
        <w:rPr>
          <w:color w:val="000000"/>
        </w:rPr>
        <w:t>Conformément aux articles L. 611-1 et suivants du code de la consommation, le Participant consommateur peut recourir gratuitement au médiateur de la consommation (</w:t>
      </w:r>
      <w:r>
        <w:rPr>
          <w:color w:val="000000"/>
        </w:rPr>
        <w:t xml:space="preserve"> NotreAccord Consommation via le site : </w:t>
      </w:r>
      <w:hyperlink r:id="rId2">
        <w:r>
          <w:rPr>
            <w:rStyle w:val="Hyperlink"/>
            <w:color w:val="000000"/>
          </w:rPr>
          <w:t>https://mediation-consommation.notreaccord.com</w:t>
        </w:r>
      </w:hyperlink>
      <w:r>
        <w:rPr>
          <w:color w:val="000000"/>
        </w:rPr>
        <w:t xml:space="preserve">  ou par voie postale en écrivant à : Centre de médiation NotreAccord, 132 rue Fondaudège - 33000 Bordeaux</w:t>
      </w:r>
      <w:r>
        <w:rPr>
          <w:color w:val="000000"/>
        </w:rPr>
        <w:t>), ainsi qu’à la plateforme européenne de règlement en ligne des litiges.</w:t>
      </w:r>
    </w:p>
    <w:p>
      <w:pPr>
        <w:pStyle w:val="Normal"/>
        <w:spacing w:before="0" w:after="120"/>
        <w:jc w:val="both"/>
        <w:rPr>
          <w:color w:val="000000"/>
        </w:rPr>
      </w:pPr>
      <w:r>
        <w:rPr>
          <w:color w:val="000000"/>
        </w:rPr>
        <w:t xml:space="preserve">Les présentes sont soumises au droit français. </w:t>
      </w:r>
    </w:p>
    <w:p>
      <w:pPr>
        <w:pStyle w:val="Normal"/>
        <w:spacing w:before="0" w:after="120"/>
        <w:jc w:val="both"/>
        <w:rPr>
          <w:color w:val="000000"/>
        </w:rPr>
      </w:pPr>
      <w:r>
        <w:rPr>
          <w:color w:val="000000"/>
        </w:rPr>
        <w:t>À défaut de résolution amiable, le litige relève des juridictions compétentes selon les règles de droit commun, le consommateur conservant la faculté de saisir la juridiction du lieu où il demeurait au moment de la conclusion du contrat ou de la survenance du fait dommageable.</w:t>
      </w:r>
    </w:p>
    <w:p>
      <w:pPr>
        <w:pStyle w:val="Normal"/>
        <w:rPr>
          <w:b/>
          <w:bCs/>
          <w:sz w:val="26"/>
          <w:szCs w:val="26"/>
        </w:rPr>
      </w:pPr>
      <w:r>
        <w:rPr>
          <w:color w:val="000000"/>
        </w:rPr>
      </w:r>
    </w:p>
    <w:p>
      <w:pPr>
        <w:pStyle w:val="Normal"/>
        <w:rPr>
          <w:color w:val="000000"/>
        </w:rPr>
      </w:pPr>
      <w:r>
        <w:rPr>
          <w:color w:val="000000"/>
        </w:rPr>
      </w:r>
    </w:p>
    <w:sectPr>
      <w:footerReference w:type="even" r:id="rId3"/>
      <w:footerReference w:type="default" r:id="rId4"/>
      <w:footerReference w:type="first" r:id="rId5"/>
      <w:type w:val="nextPage"/>
      <w:pgSz w:w="11906" w:h="16838"/>
      <w:pgMar w:left="1304" w:right="1304" w:gutter="0" w:header="0" w:top="1247" w:footer="567"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Garamond">
    <w:charset w:val="00" w:characterSet="windows-1252"/>
    <w:family w:val="roman"/>
    <w:pitch w:val="variable"/>
  </w:font>
  <w:font w:name="Liberation Sans">
    <w:altName w:val="Arial"/>
    <w:charset w:val="00" w:characterSet="windows-1252"/>
    <w:family w:val="swiss"/>
    <w:pitch w:val="variable"/>
  </w:font>
  <w:font w:name="Garamond">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20" w:after="0"/>
      <w:jc w:val="cen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20" w:after="0"/>
      <w:jc w:val="cen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0"/>
        </w:tabs>
        <w:ind w:start="454" w:hanging="227"/>
      </w:pPr>
      <w:rPr>
        <w:rFonts w:ascii="Garamond" w:hAnsi="Garamond" w:cs="Garamond" w:hint="default"/>
        <w:color w:val="000000"/>
      </w:rPr>
    </w:lvl>
    <w:lvl w:ilvl="1">
      <w:start w:val="0"/>
      <w:numFmt w:val="decimal"/>
      <w:lvlText w:val=""/>
      <w:lvlJc w:val="start"/>
      <w:pPr>
        <w:tabs>
          <w:tab w:val="num" w:pos="0"/>
        </w:tabs>
        <w:ind w:start="0" w:hanging="0"/>
      </w:pPr>
      <w:rPr/>
    </w:lvl>
    <w:lvl w:ilvl="2">
      <w:start w:val="0"/>
      <w:numFmt w:val="decimal"/>
      <w:lvlText w:val=""/>
      <w:lvlJc w:val="start"/>
      <w:pPr>
        <w:tabs>
          <w:tab w:val="num" w:pos="0"/>
        </w:tabs>
        <w:ind w:start="0" w:hanging="0"/>
      </w:pPr>
      <w:rPr/>
    </w:lvl>
    <w:lvl w:ilvl="3">
      <w:start w:val="0"/>
      <w:numFmt w:val="decimal"/>
      <w:lvlText w:val=""/>
      <w:lvlJc w:val="start"/>
      <w:pPr>
        <w:tabs>
          <w:tab w:val="num" w:pos="0"/>
        </w:tabs>
        <w:ind w:start="0" w:hanging="0"/>
      </w:pPr>
      <w:rPr/>
    </w:lvl>
    <w:lvl w:ilvl="4">
      <w:start w:val="0"/>
      <w:numFmt w:val="decimal"/>
      <w:lvlText w:val=""/>
      <w:lvlJc w:val="start"/>
      <w:pPr>
        <w:tabs>
          <w:tab w:val="num" w:pos="0"/>
        </w:tabs>
        <w:ind w:start="0" w:hanging="0"/>
      </w:pPr>
      <w:rPr/>
    </w:lvl>
    <w:lvl w:ilvl="5">
      <w:start w:val="0"/>
      <w:numFmt w:val="decimal"/>
      <w:lvlText w:val=""/>
      <w:lvlJc w:val="start"/>
      <w:pPr>
        <w:tabs>
          <w:tab w:val="num" w:pos="0"/>
        </w:tabs>
        <w:ind w:start="0" w:hanging="0"/>
      </w:pPr>
      <w:rPr/>
    </w:lvl>
    <w:lvl w:ilvl="6">
      <w:start w:val="0"/>
      <w:numFmt w:val="decimal"/>
      <w:lvlText w:val=""/>
      <w:lvlJc w:val="start"/>
      <w:pPr>
        <w:tabs>
          <w:tab w:val="num" w:pos="0"/>
        </w:tabs>
        <w:ind w:start="0" w:hanging="0"/>
      </w:pPr>
      <w:rPr/>
    </w:lvl>
    <w:lvl w:ilvl="7">
      <w:start w:val="0"/>
      <w:numFmt w:val="decimal"/>
      <w:lvlText w:val=""/>
      <w:lvlJc w:val="start"/>
      <w:pPr>
        <w:tabs>
          <w:tab w:val="num" w:pos="0"/>
        </w:tabs>
        <w:ind w:start="0" w:hanging="0"/>
      </w:pPr>
      <w:rPr/>
    </w:lvl>
    <w:lvl w:ilvl="8">
      <w:start w:val="0"/>
      <w:numFmt w:val="decimal"/>
      <w:lvlText w:val=""/>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14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aramond" w:hAnsi="Garamond" w:eastAsia="Garamond" w:cs="Garamond"/>
        <w:color w:val="000000"/>
        <w:sz w:val="21"/>
        <w:szCs w:val="21"/>
        <w:lang w:val="fr-FR" w:eastAsia="fr-FR"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64" w:before="0" w:after="0"/>
      <w:jc w:val="start"/>
    </w:pPr>
    <w:rPr>
      <w:rFonts w:ascii="Garamond" w:hAnsi="Garamond" w:eastAsia="Garamond" w:cs="Garamond"/>
      <w:color w:val="000000"/>
      <w:kern w:val="0"/>
      <w:sz w:val="21"/>
      <w:szCs w:val="21"/>
      <w:lang w:val="fr-FR" w:eastAsia="fr-FR" w:bidi="ar-SA"/>
    </w:rPr>
  </w:style>
  <w:style w:type="paragraph" w:styleId="Heading1">
    <w:name w:val="heading 1"/>
    <w:uiPriority w:val="9"/>
    <w:qFormat/>
    <w:pPr>
      <w:widowControl/>
      <w:bidi w:val="0"/>
      <w:spacing w:lineRule="auto" w:line="264" w:before="0" w:after="0"/>
      <w:jc w:val="start"/>
      <w:outlineLvl w:val="0"/>
    </w:pPr>
    <w:rPr>
      <w:rFonts w:ascii="Garamond" w:hAnsi="Garamond" w:eastAsia="Garamond" w:cs="Garamond"/>
      <w:color w:val="2E74B5"/>
      <w:kern w:val="0"/>
      <w:sz w:val="32"/>
      <w:szCs w:val="32"/>
      <w:lang w:val="fr-FR" w:eastAsia="fr-FR" w:bidi="ar-SA"/>
    </w:rPr>
  </w:style>
  <w:style w:type="paragraph" w:styleId="Heading2">
    <w:name w:val="heading 2"/>
    <w:uiPriority w:val="9"/>
    <w:semiHidden/>
    <w:unhideWhenUsed/>
    <w:qFormat/>
    <w:pPr>
      <w:widowControl/>
      <w:bidi w:val="0"/>
      <w:spacing w:lineRule="auto" w:line="264" w:before="0" w:after="0"/>
      <w:jc w:val="start"/>
      <w:outlineLvl w:val="1"/>
    </w:pPr>
    <w:rPr>
      <w:rFonts w:ascii="Garamond" w:hAnsi="Garamond" w:eastAsia="Garamond" w:cs="Garamond"/>
      <w:color w:val="2E74B5"/>
      <w:kern w:val="0"/>
      <w:sz w:val="26"/>
      <w:szCs w:val="26"/>
      <w:lang w:val="fr-FR" w:eastAsia="fr-FR" w:bidi="ar-SA"/>
    </w:rPr>
  </w:style>
  <w:style w:type="paragraph" w:styleId="Heading3">
    <w:name w:val="heading 3"/>
    <w:uiPriority w:val="9"/>
    <w:semiHidden/>
    <w:unhideWhenUsed/>
    <w:qFormat/>
    <w:pPr>
      <w:widowControl/>
      <w:bidi w:val="0"/>
      <w:spacing w:lineRule="auto" w:line="264" w:before="0" w:after="0"/>
      <w:jc w:val="start"/>
      <w:outlineLvl w:val="2"/>
    </w:pPr>
    <w:rPr>
      <w:rFonts w:ascii="Garamond" w:hAnsi="Garamond" w:eastAsia="Garamond" w:cs="Garamond"/>
      <w:color w:val="1F4D78"/>
      <w:kern w:val="0"/>
      <w:sz w:val="24"/>
      <w:szCs w:val="24"/>
      <w:lang w:val="fr-FR" w:eastAsia="fr-FR" w:bidi="ar-SA"/>
    </w:rPr>
  </w:style>
  <w:style w:type="paragraph" w:styleId="Heading4">
    <w:name w:val="heading 4"/>
    <w:uiPriority w:val="9"/>
    <w:semiHidden/>
    <w:unhideWhenUsed/>
    <w:qFormat/>
    <w:pPr>
      <w:widowControl/>
      <w:bidi w:val="0"/>
      <w:spacing w:lineRule="auto" w:line="264" w:before="0" w:after="0"/>
      <w:jc w:val="start"/>
      <w:outlineLvl w:val="3"/>
    </w:pPr>
    <w:rPr>
      <w:rFonts w:ascii="Garamond" w:hAnsi="Garamond" w:eastAsia="Garamond" w:cs="Garamond"/>
      <w:i/>
      <w:iCs/>
      <w:color w:val="2E74B5"/>
      <w:kern w:val="0"/>
      <w:sz w:val="21"/>
      <w:szCs w:val="21"/>
      <w:lang w:val="fr-FR" w:eastAsia="fr-FR" w:bidi="ar-SA"/>
    </w:rPr>
  </w:style>
  <w:style w:type="paragraph" w:styleId="Heading5">
    <w:name w:val="heading 5"/>
    <w:uiPriority w:val="9"/>
    <w:semiHidden/>
    <w:unhideWhenUsed/>
    <w:qFormat/>
    <w:pPr>
      <w:widowControl/>
      <w:bidi w:val="0"/>
      <w:spacing w:lineRule="auto" w:line="264" w:before="0" w:after="0"/>
      <w:jc w:val="start"/>
      <w:outlineLvl w:val="4"/>
    </w:pPr>
    <w:rPr>
      <w:rFonts w:ascii="Garamond" w:hAnsi="Garamond" w:eastAsia="Garamond" w:cs="Garamond"/>
      <w:color w:val="2E74B5"/>
      <w:kern w:val="0"/>
      <w:sz w:val="21"/>
      <w:szCs w:val="21"/>
      <w:lang w:val="fr-FR" w:eastAsia="fr-FR" w:bidi="ar-SA"/>
    </w:rPr>
  </w:style>
  <w:style w:type="paragraph" w:styleId="Heading6">
    <w:name w:val="heading 6"/>
    <w:uiPriority w:val="9"/>
    <w:semiHidden/>
    <w:unhideWhenUsed/>
    <w:qFormat/>
    <w:pPr>
      <w:widowControl/>
      <w:bidi w:val="0"/>
      <w:spacing w:lineRule="auto" w:line="264" w:before="0" w:after="0"/>
      <w:jc w:val="start"/>
      <w:outlineLvl w:val="5"/>
    </w:pPr>
    <w:rPr>
      <w:rFonts w:ascii="Garamond" w:hAnsi="Garamond" w:eastAsia="Garamond" w:cs="Garamond"/>
      <w:color w:val="1F4D78"/>
      <w:kern w:val="0"/>
      <w:sz w:val="21"/>
      <w:szCs w:val="21"/>
      <w:lang w:val="fr-FR" w:eastAsia="fr-FR" w:bidi="ar-SA"/>
    </w:rPr>
  </w:style>
  <w:style w:type="character" w:styleId="DefaultParagraphFont" w:default="1">
    <w:name w:val="Default Paragraph Font"/>
    <w:uiPriority w:val="1"/>
    <w:semiHidden/>
    <w:unhideWhenUsed/>
    <w:qFormat/>
    <w:rPr/>
  </w:style>
  <w:style w:type="character" w:styleId="Hyperlink">
    <w:name w:val="Hyperlink"/>
    <w:uiPriority w:val="99"/>
    <w:unhideWhenUsed/>
    <w:rPr>
      <w:color w:val="0563C1"/>
      <w:u w:val="single"/>
    </w:rPr>
  </w:style>
  <w:style w:type="character" w:styleId="Caractresdenotedebasdepage">
    <w:name w:val="Caractères de note de bas de page"/>
    <w:uiPriority w:val="99"/>
    <w:semiHidden/>
    <w:unhideWhenUsed/>
    <w:qFormat/>
    <w:rPr>
      <w:vertAlign w:val="superscript"/>
    </w:rPr>
  </w:style>
  <w:style w:type="character" w:styleId="FootnoteReference">
    <w:name w:val="footnote reference"/>
    <w:rPr>
      <w:vertAlign w:val="superscript"/>
    </w:rPr>
  </w:style>
  <w:style w:type="character" w:styleId="NotedebasdepageCar" w:customStyle="1">
    <w:name w:val="Note de bas de page Car"/>
    <w:uiPriority w:val="99"/>
    <w:semiHidden/>
    <w:unhideWhenUsed/>
    <w:qFormat/>
    <w:rPr>
      <w:sz w:val="20"/>
      <w:szCs w:val="20"/>
    </w:rPr>
  </w:style>
  <w:style w:type="character" w:styleId="Caractresdenotedefin">
    <w:name w:val="Caractères de note de fin"/>
    <w:uiPriority w:val="99"/>
    <w:semiHidden/>
    <w:unhideWhenUsed/>
    <w:qFormat/>
    <w:rPr>
      <w:vertAlign w:val="superscript"/>
    </w:rPr>
  </w:style>
  <w:style w:type="character" w:styleId="EndnoteReference">
    <w:name w:val="endnote reference"/>
    <w:rPr>
      <w:vertAlign w:val="superscript"/>
    </w:rPr>
  </w:style>
  <w:style w:type="character" w:styleId="NotedefinCar" w:customStyle="1">
    <w:name w:val="Note de fin Car"/>
    <w:uiPriority w:val="99"/>
    <w:semiHidden/>
    <w:unhideWhenUsed/>
    <w:qFormat/>
    <w:rPr>
      <w:sz w:val="20"/>
      <w:szCs w:val="20"/>
    </w:rPr>
  </w:style>
  <w:style w:type="character" w:styleId="En-tteCar" w:customStyle="1">
    <w:name w:val="En-tête Car"/>
    <w:basedOn w:val="DefaultParagraphFont"/>
    <w:uiPriority w:val="99"/>
    <w:qFormat/>
    <w:rsid w:val="005c7263"/>
    <w:rPr/>
  </w:style>
  <w:style w:type="character" w:styleId="PieddepageCar" w:customStyle="1">
    <w:name w:val="Pied de page Car"/>
    <w:basedOn w:val="DefaultParagraphFont"/>
    <w:uiPriority w:val="99"/>
    <w:qFormat/>
    <w:rsid w:val="005c7263"/>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uiPriority w:val="10"/>
    <w:qFormat/>
    <w:pPr>
      <w:widowControl/>
      <w:bidi w:val="0"/>
      <w:spacing w:lineRule="auto" w:line="264" w:before="0" w:after="0"/>
      <w:jc w:val="start"/>
    </w:pPr>
    <w:rPr>
      <w:rFonts w:ascii="Garamond" w:hAnsi="Garamond" w:eastAsia="Garamond" w:cs="Garamond"/>
      <w:color w:val="000000"/>
      <w:kern w:val="0"/>
      <w:sz w:val="56"/>
      <w:szCs w:val="56"/>
      <w:lang w:val="fr-FR" w:eastAsia="fr-FR" w:bidi="ar-SA"/>
    </w:rPr>
  </w:style>
  <w:style w:type="paragraph" w:styleId="lev1" w:customStyle="1">
    <w:name w:val="Élevé1"/>
    <w:qFormat/>
    <w:pPr>
      <w:widowControl/>
      <w:bidi w:val="0"/>
      <w:spacing w:lineRule="auto" w:line="264" w:before="0" w:after="0"/>
      <w:jc w:val="start"/>
    </w:pPr>
    <w:rPr>
      <w:rFonts w:ascii="Garamond" w:hAnsi="Garamond" w:eastAsia="Garamond" w:cs="Garamond"/>
      <w:b/>
      <w:bCs/>
      <w:color w:val="000000"/>
      <w:kern w:val="0"/>
      <w:sz w:val="21"/>
      <w:szCs w:val="21"/>
      <w:lang w:val="fr-FR" w:eastAsia="fr-FR" w:bidi="ar-SA"/>
    </w:rPr>
  </w:style>
  <w:style w:type="paragraph" w:styleId="ListParagraph">
    <w:name w:val="List Paragraph"/>
    <w:qFormat/>
    <w:pPr>
      <w:widowControl/>
      <w:bidi w:val="0"/>
      <w:spacing w:lineRule="auto" w:line="264" w:before="0" w:after="0"/>
      <w:jc w:val="start"/>
    </w:pPr>
    <w:rPr>
      <w:rFonts w:ascii="Garamond" w:hAnsi="Garamond" w:eastAsia="Garamond" w:cs="Garamond"/>
      <w:color w:val="000000"/>
      <w:kern w:val="0"/>
      <w:sz w:val="21"/>
      <w:szCs w:val="21"/>
      <w:lang w:val="fr-FR" w:eastAsia="fr-FR" w:bidi="ar-SA"/>
    </w:rPr>
  </w:style>
  <w:style w:type="paragraph" w:styleId="FootnoteText">
    <w:name w:val="footnote text"/>
    <w:link w:val="NotedebasdepageCar"/>
    <w:uiPriority w:val="99"/>
    <w:semiHidden/>
    <w:unhideWhenUsed/>
    <w:pPr>
      <w:widowControl/>
      <w:bidi w:val="0"/>
      <w:spacing w:lineRule="auto" w:line="240" w:before="0" w:after="0"/>
      <w:jc w:val="start"/>
    </w:pPr>
    <w:rPr>
      <w:rFonts w:ascii="Garamond" w:hAnsi="Garamond" w:eastAsia="Garamond" w:cs="Garamond"/>
      <w:color w:val="000000"/>
      <w:kern w:val="0"/>
      <w:sz w:val="20"/>
      <w:szCs w:val="20"/>
      <w:lang w:val="fr-FR" w:eastAsia="fr-FR" w:bidi="ar-SA"/>
    </w:rPr>
  </w:style>
  <w:style w:type="paragraph" w:styleId="EndnoteText">
    <w:name w:val="endnote text"/>
    <w:link w:val="NotedefinCar"/>
    <w:uiPriority w:val="99"/>
    <w:semiHidden/>
    <w:unhideWhenUsed/>
    <w:pPr>
      <w:widowControl/>
      <w:bidi w:val="0"/>
      <w:spacing w:lineRule="auto" w:line="240" w:before="0" w:after="0"/>
      <w:jc w:val="start"/>
    </w:pPr>
    <w:rPr>
      <w:rFonts w:ascii="Garamond" w:hAnsi="Garamond" w:eastAsia="Garamond" w:cs="Garamond"/>
      <w:color w:val="000000"/>
      <w:kern w:val="0"/>
      <w:sz w:val="20"/>
      <w:szCs w:val="20"/>
      <w:lang w:val="fr-FR" w:eastAsia="fr-FR" w:bidi="ar-SA"/>
    </w:rPr>
  </w:style>
  <w:style w:type="paragraph" w:styleId="En-tteetpieddepage">
    <w:name w:val="En-tête et pied de page"/>
    <w:basedOn w:val="Normal"/>
    <w:qFormat/>
    <w:pPr/>
    <w:rPr/>
  </w:style>
  <w:style w:type="paragraph" w:styleId="Header">
    <w:name w:val="header"/>
    <w:basedOn w:val="Normal"/>
    <w:link w:val="En-tteCar"/>
    <w:uiPriority w:val="99"/>
    <w:unhideWhenUsed/>
    <w:rsid w:val="005c7263"/>
    <w:pPr>
      <w:tabs>
        <w:tab w:val="clear" w:pos="708"/>
        <w:tab w:val="center" w:pos="4536" w:leader="none"/>
        <w:tab w:val="right" w:pos="9072" w:leader="none"/>
      </w:tabs>
      <w:spacing w:lineRule="auto" w:line="240"/>
    </w:pPr>
    <w:rPr/>
  </w:style>
  <w:style w:type="paragraph" w:styleId="Footer">
    <w:name w:val="footer"/>
    <w:basedOn w:val="Normal"/>
    <w:link w:val="PieddepageCar"/>
    <w:uiPriority w:val="99"/>
    <w:unhideWhenUsed/>
    <w:rsid w:val="005c7263"/>
    <w:pPr>
      <w:tabs>
        <w:tab w:val="clear" w:pos="708"/>
        <w:tab w:val="center" w:pos="4536" w:leader="none"/>
        <w:tab w:val="right" w:pos="9072" w:leader="none"/>
      </w:tabs>
      <w:spacing w:lineRule="auto" w:line="240"/>
    </w:pPr>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iation-consommation.notreaccord.com/"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31</TotalTime>
  <Application>LibreOffice/26.2.5.2$Windows_X86_64 LibreOffice_project/cd7284b4cbbfeb507e630c1aac019f4157393acb</Application>
  <AppVersion>15.0000</AppVersion>
  <Pages>7</Pages>
  <Words>3268</Words>
  <Characters>18468</Characters>
  <CharactersWithSpaces>21633</CharactersWithSpaces>
  <Paragraphs>183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2026-09-07T13:44:00Z</dcterms:created>
  <dc:creator>Un-named</dc:creator>
  <dc:description/>
  <dc:language>fr-FR</dc:language>
  <cp:lastModifiedBy/>
  <dcterms:modified xsi:type="dcterms:W3CDTF">2026-09-24T12:03:46Z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